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D9" w:rsidRPr="0092736F" w:rsidRDefault="00B535D9" w:rsidP="0092736F">
      <w:pPr>
        <w:spacing w:afterLines="50" w:after="156"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92736F">
        <w:rPr>
          <w:rFonts w:ascii="宋体" w:eastAsia="宋体" w:hAnsi="宋体" w:cs="宋体" w:hint="eastAsia"/>
          <w:b/>
          <w:color w:val="000000"/>
          <w:szCs w:val="21"/>
        </w:rPr>
        <w:t>因上海期货交易所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保证金调整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，将在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4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月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6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日结算时起：</w:t>
      </w:r>
    </w:p>
    <w:p w:rsidR="00340F54" w:rsidRDefault="00B535D9" w:rsidP="00B535D9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B535D9">
        <w:rPr>
          <w:rFonts w:ascii="宋体" w:eastAsia="宋体" w:hAnsi="宋体" w:cs="宋体"/>
          <w:color w:val="000000"/>
          <w:szCs w:val="21"/>
        </w:rPr>
        <w:t>CU、AL、ZN、PB品种保证金率调整为9%。</w:t>
      </w:r>
      <w:r w:rsidRPr="00B535D9">
        <w:rPr>
          <w:rFonts w:ascii="宋体" w:eastAsia="宋体" w:hAnsi="宋体" w:cs="宋体"/>
          <w:color w:val="000000"/>
          <w:szCs w:val="21"/>
        </w:rPr>
        <w:br/>
        <w:t>SS、SP品种保证金率调整为10%。</w:t>
      </w:r>
      <w:r w:rsidRPr="00B535D9">
        <w:rPr>
          <w:rFonts w:ascii="宋体" w:eastAsia="宋体" w:hAnsi="宋体" w:cs="宋体"/>
          <w:color w:val="000000"/>
          <w:szCs w:val="21"/>
        </w:rPr>
        <w:br/>
        <w:t>AG品种保证金率调整为11%。</w:t>
      </w:r>
      <w:r w:rsidRPr="00B535D9">
        <w:rPr>
          <w:rFonts w:ascii="宋体" w:eastAsia="宋体" w:hAnsi="宋体" w:cs="宋体"/>
          <w:color w:val="000000"/>
          <w:szCs w:val="21"/>
        </w:rPr>
        <w:br/>
        <w:t>NI、BU品种保证金率调整为12%。</w:t>
      </w:r>
    </w:p>
    <w:p w:rsidR="008E67F3" w:rsidRPr="0092736F" w:rsidRDefault="008E67F3" w:rsidP="007822FA">
      <w:pPr>
        <w:spacing w:afterLines="50" w:after="156"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92736F">
        <w:rPr>
          <w:rFonts w:ascii="宋体" w:eastAsia="宋体" w:hAnsi="宋体" w:cs="宋体" w:hint="eastAsia"/>
          <w:b/>
          <w:color w:val="000000"/>
          <w:szCs w:val="21"/>
        </w:rPr>
        <w:t>因</w:t>
      </w: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保证金调整，将在4月6日结算时起：</w:t>
      </w:r>
    </w:p>
    <w:p w:rsidR="008E67F3" w:rsidRPr="00B535D9" w:rsidRDefault="008E67F3" w:rsidP="00B535D9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8E67F3">
        <w:rPr>
          <w:rFonts w:ascii="宋体" w:eastAsia="宋体" w:hAnsi="宋体" w:cs="宋体"/>
          <w:color w:val="000000"/>
          <w:szCs w:val="21"/>
        </w:rPr>
        <w:t>BC品种保证金率调整为9%。</w:t>
      </w:r>
      <w:r w:rsidRPr="008E67F3">
        <w:rPr>
          <w:rFonts w:ascii="宋体" w:eastAsia="宋体" w:hAnsi="宋体" w:cs="宋体"/>
          <w:color w:val="000000"/>
          <w:szCs w:val="21"/>
        </w:rPr>
        <w:br/>
        <w:t>LU品种保证金率调整为12%。</w:t>
      </w:r>
      <w:bookmarkStart w:id="0" w:name="_GoBack"/>
      <w:bookmarkEnd w:id="0"/>
    </w:p>
    <w:sectPr w:rsidR="008E67F3" w:rsidRPr="00B5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1E"/>
    <w:rsid w:val="00340F54"/>
    <w:rsid w:val="007822FA"/>
    <w:rsid w:val="008E67F3"/>
    <w:rsid w:val="0092736F"/>
    <w:rsid w:val="00B535D9"/>
    <w:rsid w:val="00E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5</cp:revision>
  <dcterms:created xsi:type="dcterms:W3CDTF">2023-04-07T07:14:00Z</dcterms:created>
  <dcterms:modified xsi:type="dcterms:W3CDTF">2023-04-07T07:37:00Z</dcterms:modified>
</cp:coreProperties>
</file>