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DB" w:rsidRDefault="002874DB" w:rsidP="002874DB">
      <w:pPr>
        <w:adjustRightInd/>
        <w:snapToGrid/>
        <w:spacing w:afterLines="50" w:after="156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因2302合约进入交割月，按照交易所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结算风控细则</w:t>
      </w:r>
      <w:proofErr w:type="gramEnd"/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，将在1月31日结算时起：</w:t>
      </w:r>
    </w:p>
    <w:p w:rsidR="002874DB" w:rsidRDefault="002874DB" w:rsidP="002874DB">
      <w:pPr>
        <w:spacing w:after="0" w:line="220" w:lineRule="atLeast"/>
        <w:rPr>
          <w:rFonts w:ascii="Microsoft Yahei" w:eastAsia="宋体" w:hAnsi="Microsoft Yahei" w:cs="宋体" w:hint="eastAsia"/>
          <w:b/>
          <w:color w:val="333333"/>
          <w:sz w:val="21"/>
          <w:szCs w:val="21"/>
        </w:rPr>
      </w:pPr>
      <w:r>
        <w:rPr>
          <w:rFonts w:ascii="Microsoft Yahei" w:eastAsia="宋体" w:hAnsi="Microsoft Yahei" w:cs="宋体" w:hint="eastAsia"/>
          <w:b/>
          <w:color w:val="333333"/>
          <w:sz w:val="21"/>
          <w:szCs w:val="21"/>
        </w:rPr>
        <w:t>郑州商品期货交易所</w:t>
      </w:r>
    </w:p>
    <w:p w:rsidR="001E105D" w:rsidRDefault="002874DB" w:rsidP="00F61877">
      <w:pPr>
        <w:adjustRightInd/>
        <w:snapToGrid/>
        <w:spacing w:afterLines="50" w:after="156"/>
      </w:pP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TA2302、MA2302、FG2302、ZC2302、SF2302、SM2302、CY2302、UR2302、SA2302、PF2302合约的交易保证金调整为20%，CJ2303合约</w:t>
      </w:r>
      <w:bookmarkStart w:id="0" w:name="_GoBack"/>
      <w:bookmarkEnd w:id="0"/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的交易保证金调整为10%。</w:t>
      </w:r>
    </w:p>
    <w:sectPr w:rsidR="001E1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99"/>
    <w:rsid w:val="001E105D"/>
    <w:rsid w:val="002874DB"/>
    <w:rsid w:val="00F61877"/>
    <w:rsid w:val="00FB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D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D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3</cp:revision>
  <dcterms:created xsi:type="dcterms:W3CDTF">2023-01-03T05:53:00Z</dcterms:created>
  <dcterms:modified xsi:type="dcterms:W3CDTF">2023-01-03T05:54:00Z</dcterms:modified>
</cp:coreProperties>
</file>