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3" w:rsidRPr="0096190C" w:rsidRDefault="00110C73" w:rsidP="0096190C">
      <w:pPr>
        <w:spacing w:after="100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96190C">
        <w:rPr>
          <w:rFonts w:ascii="宋体" w:eastAsia="宋体" w:hAnsi="宋体" w:cs="宋体" w:hint="eastAsia"/>
          <w:color w:val="000000"/>
          <w:sz w:val="21"/>
          <w:szCs w:val="21"/>
        </w:rPr>
        <w:t>因2210合约进入交割月，按照交易所结算风控细则，将在10月12日起：</w:t>
      </w:r>
    </w:p>
    <w:p w:rsidR="00110C73" w:rsidRPr="0096190C" w:rsidRDefault="00110C73" w:rsidP="0096190C">
      <w:pPr>
        <w:spacing w:after="0" w:line="220" w:lineRule="atLeast"/>
        <w:rPr>
          <w:rFonts w:ascii="宋体" w:eastAsia="宋体" w:hAnsi="宋体" w:cs="宋体" w:hint="eastAsia"/>
          <w:b/>
          <w:color w:val="000000"/>
          <w:sz w:val="21"/>
          <w:szCs w:val="21"/>
        </w:rPr>
      </w:pPr>
      <w:r w:rsidRPr="0096190C">
        <w:rPr>
          <w:rFonts w:ascii="宋体" w:eastAsia="宋体" w:hAnsi="宋体" w:cs="宋体" w:hint="eastAsia"/>
          <w:b/>
          <w:color w:val="000000"/>
          <w:sz w:val="21"/>
          <w:szCs w:val="21"/>
        </w:rPr>
        <w:t>上海期货交易所</w:t>
      </w:r>
    </w:p>
    <w:p w:rsidR="004358AB" w:rsidRPr="0096190C" w:rsidRDefault="00C36B27" w:rsidP="00D31D50">
      <w:pPr>
        <w:spacing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96190C">
        <w:rPr>
          <w:rFonts w:ascii="宋体" w:eastAsia="宋体" w:hAnsi="宋体" w:cs="宋体"/>
          <w:color w:val="000000"/>
          <w:sz w:val="21"/>
          <w:szCs w:val="21"/>
        </w:rPr>
        <w:t>AG2210合约保证金率调整为20%。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AL2210合约保证金率调整为20%。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AU2210合约保证金率调整为20%。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BU2210合约保证金率调整为20%。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CU2210合约保证金率调整为20%。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HC2210合约保证金率调整为20%。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NI2210合约保证金率调整为20%。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PB2210合约保证金率调整为20%。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RB2210合约保证金率调整为20%。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RU2210合约保证金率调整为20%。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SN2210合约保证金率调整为20%。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SP2210合约保证金率调整为20%。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SS2210合约保证金率调整为20%。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WR2210合约保证金率调整为20%。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ZN2210合约保证金率调整为20%。</w:t>
      </w:r>
    </w:p>
    <w:p w:rsidR="00110C73" w:rsidRPr="0096190C" w:rsidRDefault="00110C73" w:rsidP="0096190C">
      <w:pPr>
        <w:spacing w:after="0" w:line="220" w:lineRule="atLeast"/>
        <w:rPr>
          <w:rFonts w:ascii="宋体" w:eastAsia="宋体" w:hAnsi="宋体" w:cs="宋体" w:hint="eastAsia"/>
          <w:b/>
          <w:color w:val="000000"/>
          <w:sz w:val="21"/>
          <w:szCs w:val="21"/>
        </w:rPr>
      </w:pPr>
      <w:r w:rsidRPr="0096190C">
        <w:rPr>
          <w:rFonts w:ascii="宋体" w:eastAsia="宋体" w:hAnsi="宋体" w:cs="宋体" w:hint="eastAsia"/>
          <w:b/>
          <w:color w:val="000000"/>
          <w:sz w:val="21"/>
          <w:szCs w:val="21"/>
        </w:rPr>
        <w:t>上海能源交易中心</w:t>
      </w:r>
    </w:p>
    <w:p w:rsidR="00110C73" w:rsidRPr="0096190C" w:rsidRDefault="00110C73" w:rsidP="00D31D50">
      <w:pPr>
        <w:spacing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96190C">
        <w:rPr>
          <w:rFonts w:ascii="宋体" w:eastAsia="宋体" w:hAnsi="宋体" w:cs="宋体"/>
          <w:color w:val="000000"/>
          <w:sz w:val="21"/>
          <w:szCs w:val="21"/>
        </w:rPr>
        <w:t>BC2210合约保证金率调整为20%。</w:t>
      </w:r>
      <w:r w:rsidRPr="0096190C">
        <w:rPr>
          <w:rFonts w:ascii="宋体" w:eastAsia="宋体" w:hAnsi="宋体" w:cs="宋体"/>
          <w:color w:val="000000"/>
          <w:sz w:val="21"/>
          <w:szCs w:val="21"/>
        </w:rPr>
        <w:br/>
        <w:t>NR2210合约保证金率调整为20%。</w:t>
      </w:r>
    </w:p>
    <w:sectPr w:rsidR="00110C73" w:rsidRPr="009619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7238"/>
    <w:rsid w:val="00110C73"/>
    <w:rsid w:val="002A6877"/>
    <w:rsid w:val="00323B43"/>
    <w:rsid w:val="003D37D8"/>
    <w:rsid w:val="00426133"/>
    <w:rsid w:val="004358AB"/>
    <w:rsid w:val="008B7726"/>
    <w:rsid w:val="0096190C"/>
    <w:rsid w:val="00C36B2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B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2022-10-18T06:14:00Z</dcterms:modified>
</cp:coreProperties>
</file>