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F675A8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F675A8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E962D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基本面走弱，高位抛空</w:t>
                  </w:r>
                </w:p>
              </w:txbxContent>
            </v:textbox>
          </v:shape>
        </w:pict>
      </w:r>
      <w:r w:rsidRPr="00F675A8">
        <w:rPr>
          <w:rFonts w:ascii="宋体" w:hAnsi="宋体" w:cs="Arial"/>
          <w:szCs w:val="21"/>
        </w:rPr>
      </w:r>
      <w:r w:rsidRPr="00F675A8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605CD1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E962DE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29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周，郑醇</w:t>
      </w:r>
      <w:r w:rsidR="00C3436E">
        <w:rPr>
          <w:rFonts w:hint="eastAsia"/>
          <w:szCs w:val="21"/>
        </w:rPr>
        <w:t>低位震荡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243EEC">
        <w:rPr>
          <w:rFonts w:hint="eastAsia"/>
          <w:szCs w:val="21"/>
        </w:rPr>
        <w:t>5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C3436E">
        <w:rPr>
          <w:rFonts w:hint="eastAsia"/>
          <w:szCs w:val="21"/>
        </w:rPr>
        <w:t>80</w:t>
      </w:r>
      <w:r w:rsidR="00484348">
        <w:rPr>
          <w:rFonts w:hint="eastAsia"/>
          <w:szCs w:val="21"/>
        </w:rPr>
        <w:t>1</w:t>
      </w:r>
      <w:r w:rsidR="00FA3E4C" w:rsidRPr="00E26E25">
        <w:rPr>
          <w:rFonts w:hint="eastAsia"/>
          <w:szCs w:val="21"/>
        </w:rPr>
        <w:t>，周最高</w:t>
      </w:r>
      <w:r w:rsidR="00C3436E">
        <w:rPr>
          <w:rFonts w:hint="eastAsia"/>
          <w:szCs w:val="21"/>
        </w:rPr>
        <w:t>2869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C3436E">
        <w:rPr>
          <w:rFonts w:hint="eastAsia"/>
          <w:szCs w:val="21"/>
        </w:rPr>
        <w:t>793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C3436E">
        <w:rPr>
          <w:rFonts w:hint="eastAsia"/>
          <w:szCs w:val="21"/>
        </w:rPr>
        <w:t>827</w:t>
      </w:r>
      <w:r w:rsidR="002516D0" w:rsidRPr="00E26E25">
        <w:rPr>
          <w:rFonts w:hint="eastAsia"/>
          <w:szCs w:val="21"/>
        </w:rPr>
        <w:t>，较上周</w:t>
      </w:r>
      <w:r w:rsidR="00C3436E">
        <w:rPr>
          <w:rFonts w:hint="eastAsia"/>
          <w:szCs w:val="21"/>
        </w:rPr>
        <w:t>涨</w:t>
      </w:r>
      <w:r w:rsidR="00C3436E">
        <w:rPr>
          <w:rFonts w:hint="eastAsia"/>
          <w:szCs w:val="21"/>
        </w:rPr>
        <w:t>27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>
        <w:rPr>
          <w:rFonts w:hint="eastAsia"/>
          <w:szCs w:val="21"/>
        </w:rPr>
        <w:t>4</w:t>
      </w:r>
      <w:r w:rsidR="00C3436E">
        <w:rPr>
          <w:rFonts w:hint="eastAsia"/>
          <w:szCs w:val="21"/>
        </w:rPr>
        <w:t>83.7</w:t>
      </w:r>
      <w:r w:rsidR="00804C21" w:rsidRPr="00E26E25">
        <w:rPr>
          <w:rFonts w:hint="eastAsia"/>
          <w:szCs w:val="21"/>
        </w:rPr>
        <w:t>万手，</w:t>
      </w:r>
      <w:r w:rsidR="00C3436E">
        <w:rPr>
          <w:rFonts w:hint="eastAsia"/>
          <w:szCs w:val="21"/>
        </w:rPr>
        <w:t>减</w:t>
      </w:r>
      <w:r w:rsidR="00C3436E">
        <w:rPr>
          <w:rFonts w:hint="eastAsia"/>
          <w:szCs w:val="21"/>
        </w:rPr>
        <w:t>6.1</w:t>
      </w:r>
      <w:r w:rsidR="00FA3E4C" w:rsidRPr="00E26E25">
        <w:rPr>
          <w:rFonts w:hint="eastAsia"/>
          <w:szCs w:val="21"/>
        </w:rPr>
        <w:t>万手，持仓</w:t>
      </w:r>
      <w:r w:rsidR="00C3436E">
        <w:rPr>
          <w:rFonts w:hint="eastAsia"/>
          <w:szCs w:val="21"/>
        </w:rPr>
        <w:t>69.8</w:t>
      </w:r>
      <w:r w:rsidR="00FA3E4C" w:rsidRPr="00E26E25">
        <w:rPr>
          <w:rFonts w:hint="eastAsia"/>
          <w:szCs w:val="21"/>
        </w:rPr>
        <w:t>万手，</w:t>
      </w:r>
      <w:r w:rsidR="00C3436E">
        <w:rPr>
          <w:rFonts w:hint="eastAsia"/>
          <w:szCs w:val="21"/>
        </w:rPr>
        <w:t>减</w:t>
      </w:r>
      <w:r w:rsidR="00C3436E">
        <w:rPr>
          <w:rFonts w:hint="eastAsia"/>
          <w:szCs w:val="21"/>
        </w:rPr>
        <w:t>4.2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C3436E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C3436E" w:rsidRDefault="00C3436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C3436E" w:rsidRDefault="00C3436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2801</w:t>
            </w:r>
          </w:p>
        </w:tc>
        <w:tc>
          <w:tcPr>
            <w:tcW w:w="3438" w:type="dxa"/>
          </w:tcPr>
          <w:p w:rsidR="00C3436E" w:rsidRDefault="00C3436E" w:rsidP="00F3625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2951</w:t>
            </w:r>
          </w:p>
        </w:tc>
      </w:tr>
      <w:tr w:rsidR="00C3436E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C3436E" w:rsidRDefault="00C3436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C3436E" w:rsidRDefault="00C3436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2869</w:t>
            </w:r>
          </w:p>
        </w:tc>
        <w:tc>
          <w:tcPr>
            <w:tcW w:w="3438" w:type="dxa"/>
          </w:tcPr>
          <w:p w:rsidR="00C3436E" w:rsidRDefault="00C3436E" w:rsidP="00F3625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2964</w:t>
            </w:r>
          </w:p>
        </w:tc>
      </w:tr>
      <w:tr w:rsidR="00C3436E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C3436E" w:rsidRDefault="00C3436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C3436E" w:rsidRDefault="00C3436E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2793</w:t>
            </w:r>
          </w:p>
        </w:tc>
        <w:tc>
          <w:tcPr>
            <w:tcW w:w="3438" w:type="dxa"/>
          </w:tcPr>
          <w:p w:rsidR="00C3436E" w:rsidRDefault="00C3436E" w:rsidP="00F3625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2766</w:t>
            </w:r>
          </w:p>
        </w:tc>
      </w:tr>
      <w:tr w:rsidR="00C3436E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C3436E" w:rsidRDefault="00C3436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C3436E" w:rsidRDefault="00C3436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2827</w:t>
            </w:r>
          </w:p>
        </w:tc>
        <w:tc>
          <w:tcPr>
            <w:tcW w:w="3438" w:type="dxa"/>
          </w:tcPr>
          <w:p w:rsidR="00C3436E" w:rsidRDefault="00C3436E" w:rsidP="00F3625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2800</w:t>
            </w:r>
          </w:p>
        </w:tc>
      </w:tr>
      <w:tr w:rsidR="00C3436E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C3436E" w:rsidRDefault="00C3436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C3436E" w:rsidRDefault="00C3436E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483.7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C3436E" w:rsidRDefault="00C3436E" w:rsidP="00F3625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489.8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C3436E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C3436E" w:rsidRDefault="00C3436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C3436E" w:rsidRDefault="00C3436E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69.8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C3436E" w:rsidRDefault="00C3436E" w:rsidP="00F3625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74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C3436E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364495" cy="3303917"/>
            <wp:effectExtent l="19050" t="0" r="0" b="0"/>
            <wp:docPr id="5" name="图片 2" descr="C:\Users\Administrator\AppData\Roaming\Tencent\Users\276171027\QQ\WinTemp\RichOle\MQL4M7Q@OFQ(K8FHI(AI48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MQL4M7Q@OFQ(K8FHI(AI48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33" cy="330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4B0637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天然气</w:t>
      </w:r>
      <w:r w:rsidR="00964CCA"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1A15B9" w:rsidRPr="00B2609F" w:rsidRDefault="00B2609F" w:rsidP="00B2609F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前期</w:t>
      </w:r>
      <w:r w:rsidR="001A15B9">
        <w:rPr>
          <w:rFonts w:hint="eastAsia"/>
          <w:szCs w:val="21"/>
        </w:rPr>
        <w:t>限气因素影响，导致多套装置停车</w:t>
      </w:r>
      <w:r w:rsidR="004B0637" w:rsidRPr="004B0637">
        <w:rPr>
          <w:szCs w:val="21"/>
        </w:rPr>
        <w:t>。</w:t>
      </w:r>
      <w:r>
        <w:rPr>
          <w:rFonts w:hint="eastAsia"/>
          <w:szCs w:val="21"/>
        </w:rPr>
        <w:t>但有消息称，西南部分天然气制装置有望在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月份重启。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B2609F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B2609F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342799" cy="2783563"/>
            <wp:effectExtent l="19050" t="0" r="851" b="0"/>
            <wp:docPr id="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4877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373E8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在</w:t>
      </w:r>
      <w:r w:rsidR="004B0637">
        <w:rPr>
          <w:rFonts w:ascii="STXihei" w:hAnsi="STXihei" w:cs="STXihei" w:hint="eastAsia"/>
          <w:color w:val="000000"/>
          <w:kern w:val="0"/>
          <w:szCs w:val="21"/>
        </w:rPr>
        <w:t>冬季，北方天然气紧缺，导致北方供暖紧缺，动力煤价格也一再高涨，煤炭价格对甲醇</w:t>
      </w:r>
      <w:r w:rsidR="00861E75">
        <w:rPr>
          <w:rFonts w:ascii="STXihei" w:hAnsi="STXihei" w:cs="STXihei" w:hint="eastAsia"/>
          <w:color w:val="000000"/>
          <w:kern w:val="0"/>
          <w:szCs w:val="21"/>
        </w:rPr>
        <w:t>继续形成</w:t>
      </w:r>
      <w:r w:rsidR="004B0637">
        <w:rPr>
          <w:rFonts w:ascii="STXihei" w:hAnsi="STXihei" w:cs="STXihei" w:hint="eastAsia"/>
          <w:color w:val="000000"/>
          <w:kern w:val="0"/>
          <w:szCs w:val="21"/>
        </w:rPr>
        <w:t>支撑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B2609F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B2609F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459388" cy="2941608"/>
            <wp:effectExtent l="19050" t="0" r="0" b="0"/>
            <wp:docPr id="1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5727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B2609F" w:rsidRDefault="00B2609F" w:rsidP="00B2609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 w:rsidRPr="00B2609F">
        <w:rPr>
          <w:rFonts w:ascii="STXihei" w:hAnsi="STXihei" w:cs="STXihei" w:hint="eastAsia"/>
          <w:color w:val="000000"/>
          <w:kern w:val="0"/>
          <w:szCs w:val="21"/>
        </w:rPr>
        <w:lastRenderedPageBreak/>
        <w:t>本周国内甲醇市场区域走势凸显，内地在雨雪天气影响下，运输再次影响内地市场，港口市场则以窄幅震荡为主。具体来看：本周陕蒙、关中等地为保证春节期间低库存过度，周内仍有继续下调，部分企业出货降至</w:t>
      </w:r>
      <w:r w:rsidRPr="00B2609F">
        <w:rPr>
          <w:rFonts w:ascii="STXihei" w:hAnsi="STXihei" w:cs="STXihei"/>
          <w:color w:val="000000"/>
          <w:kern w:val="0"/>
          <w:szCs w:val="21"/>
        </w:rPr>
        <w:t>2450</w:t>
      </w:r>
      <w:r w:rsidRPr="00B2609F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B2609F">
        <w:rPr>
          <w:rFonts w:ascii="STXihei" w:hAnsi="STXihei" w:cs="STXihei"/>
          <w:color w:val="000000"/>
          <w:kern w:val="0"/>
          <w:szCs w:val="21"/>
        </w:rPr>
        <w:t>/</w:t>
      </w:r>
      <w:r w:rsidRPr="00B2609F">
        <w:rPr>
          <w:rFonts w:ascii="STXihei" w:hAnsi="STXihei" w:cs="STXihei" w:hint="eastAsia"/>
          <w:color w:val="000000"/>
          <w:kern w:val="0"/>
          <w:szCs w:val="21"/>
        </w:rPr>
        <w:t>吨附近，关中新价亦降至</w:t>
      </w:r>
      <w:r w:rsidRPr="00B2609F">
        <w:rPr>
          <w:rFonts w:ascii="STXihei" w:hAnsi="STXihei" w:cs="STXihei"/>
          <w:color w:val="000000"/>
          <w:kern w:val="0"/>
          <w:szCs w:val="21"/>
        </w:rPr>
        <w:t>2570-2650</w:t>
      </w:r>
      <w:r w:rsidRPr="00B2609F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B2609F">
        <w:rPr>
          <w:rFonts w:ascii="STXihei" w:hAnsi="STXihei" w:cs="STXihei"/>
          <w:color w:val="000000"/>
          <w:kern w:val="0"/>
          <w:szCs w:val="21"/>
        </w:rPr>
        <w:t>/</w:t>
      </w:r>
      <w:r w:rsidRPr="00B2609F">
        <w:rPr>
          <w:rFonts w:ascii="STXihei" w:hAnsi="STXihei" w:cs="STXihei" w:hint="eastAsia"/>
          <w:color w:val="000000"/>
          <w:kern w:val="0"/>
          <w:szCs w:val="21"/>
        </w:rPr>
        <w:t>吨，其他内地市场，如华中、华北及山东等地在运费上涨作用下整体降幅有限，且部分地区因到货周期拉长，部分出货重心有所抬升。港口方面，周内进口到港较为分散，虽有主要库区库存增长利空压制，然在期货震荡偏强支撑下，现货窄幅震荡，远月纸货向上收窄价差，整体表现较为平稳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B2609F" w:rsidTr="00443C09">
        <w:trPr>
          <w:cnfStyle w:val="000000100000"/>
        </w:trPr>
        <w:tc>
          <w:tcPr>
            <w:cnfStyle w:val="001000000000"/>
            <w:tcW w:w="3474" w:type="dxa"/>
          </w:tcPr>
          <w:p w:rsidR="00B2609F" w:rsidRDefault="00B2609F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B2609F" w:rsidRDefault="00B2609F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3420</w:t>
            </w:r>
          </w:p>
        </w:tc>
        <w:tc>
          <w:tcPr>
            <w:tcW w:w="3474" w:type="dxa"/>
          </w:tcPr>
          <w:p w:rsidR="00B2609F" w:rsidRDefault="00B2609F" w:rsidP="00F3625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3475</w:t>
            </w:r>
          </w:p>
        </w:tc>
      </w:tr>
      <w:tr w:rsidR="00B2609F" w:rsidTr="00443C09">
        <w:trPr>
          <w:cnfStyle w:val="000000010000"/>
        </w:trPr>
        <w:tc>
          <w:tcPr>
            <w:cnfStyle w:val="001000000000"/>
            <w:tcW w:w="3474" w:type="dxa"/>
          </w:tcPr>
          <w:p w:rsidR="00B2609F" w:rsidRDefault="00B2609F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B2609F" w:rsidRDefault="00B2609F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3435</w:t>
            </w:r>
          </w:p>
        </w:tc>
        <w:tc>
          <w:tcPr>
            <w:tcW w:w="3474" w:type="dxa"/>
          </w:tcPr>
          <w:p w:rsidR="00B2609F" w:rsidRDefault="00B2609F" w:rsidP="00F36256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3540</w:t>
            </w:r>
          </w:p>
        </w:tc>
      </w:tr>
      <w:tr w:rsidR="00B2609F" w:rsidTr="00443C09">
        <w:trPr>
          <w:cnfStyle w:val="000000100000"/>
        </w:trPr>
        <w:tc>
          <w:tcPr>
            <w:cnfStyle w:val="001000000000"/>
            <w:tcW w:w="3474" w:type="dxa"/>
          </w:tcPr>
          <w:p w:rsidR="00B2609F" w:rsidRDefault="00B2609F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B2609F" w:rsidRDefault="00B2609F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3330</w:t>
            </w:r>
          </w:p>
        </w:tc>
        <w:tc>
          <w:tcPr>
            <w:tcW w:w="3474" w:type="dxa"/>
          </w:tcPr>
          <w:p w:rsidR="00B2609F" w:rsidRDefault="00B2609F" w:rsidP="00F3625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3330</w:t>
            </w:r>
          </w:p>
        </w:tc>
      </w:tr>
      <w:tr w:rsidR="00B2609F" w:rsidTr="00443C09">
        <w:trPr>
          <w:cnfStyle w:val="000000010000"/>
        </w:trPr>
        <w:tc>
          <w:tcPr>
            <w:cnfStyle w:val="001000000000"/>
            <w:tcW w:w="3474" w:type="dxa"/>
          </w:tcPr>
          <w:p w:rsidR="00B2609F" w:rsidRDefault="00B2609F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B2609F" w:rsidRDefault="00B2609F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3035</w:t>
            </w:r>
          </w:p>
        </w:tc>
        <w:tc>
          <w:tcPr>
            <w:tcW w:w="3474" w:type="dxa"/>
          </w:tcPr>
          <w:p w:rsidR="00B2609F" w:rsidRDefault="00B2609F" w:rsidP="00F36256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3085</w:t>
            </w:r>
          </w:p>
        </w:tc>
      </w:tr>
      <w:tr w:rsidR="00B2609F" w:rsidTr="00443C09">
        <w:trPr>
          <w:cnfStyle w:val="000000100000"/>
        </w:trPr>
        <w:tc>
          <w:tcPr>
            <w:cnfStyle w:val="001000000000"/>
            <w:tcW w:w="3474" w:type="dxa"/>
          </w:tcPr>
          <w:p w:rsidR="00B2609F" w:rsidRDefault="00B2609F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B2609F" w:rsidRDefault="00B2609F" w:rsidP="00E2447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2450</w:t>
            </w:r>
          </w:p>
        </w:tc>
        <w:tc>
          <w:tcPr>
            <w:tcW w:w="3474" w:type="dxa"/>
          </w:tcPr>
          <w:p w:rsidR="00B2609F" w:rsidRDefault="00B2609F" w:rsidP="00F3625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2600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665B31">
        <w:rPr>
          <w:rFonts w:ascii="宋体" w:hAnsi="宋体" w:cs="Arial" w:hint="eastAsia"/>
          <w:kern w:val="0"/>
          <w:szCs w:val="21"/>
        </w:rPr>
        <w:t>本周</w:t>
      </w:r>
      <w:r w:rsidR="00B2609F">
        <w:rPr>
          <w:rFonts w:ascii="宋体" w:hAnsi="宋体" w:cs="Arial" w:hint="eastAsia"/>
          <w:kern w:val="0"/>
          <w:szCs w:val="21"/>
        </w:rPr>
        <w:t>甲醇沿海偏强，内地率先下跌</w:t>
      </w:r>
      <w:r w:rsidR="00E24477">
        <w:rPr>
          <w:rFonts w:ascii="宋体" w:hAnsi="宋体" w:cs="Arial" w:hint="eastAsia"/>
          <w:kern w:val="0"/>
          <w:szCs w:val="21"/>
        </w:rPr>
        <w:t>，港口内蒙价差</w:t>
      </w:r>
      <w:r w:rsidR="00B2609F">
        <w:rPr>
          <w:rFonts w:ascii="宋体" w:hAnsi="宋体" w:cs="Arial" w:hint="eastAsia"/>
          <w:kern w:val="0"/>
          <w:szCs w:val="21"/>
        </w:rPr>
        <w:t>有所扩大</w:t>
      </w:r>
      <w:r w:rsidR="00E24477">
        <w:rPr>
          <w:rFonts w:ascii="宋体" w:hAnsi="宋体" w:cs="Arial" w:hint="eastAsia"/>
          <w:kern w:val="0"/>
          <w:szCs w:val="21"/>
        </w:rPr>
        <w:t>，</w:t>
      </w:r>
      <w:r w:rsidR="000E34DB">
        <w:rPr>
          <w:rFonts w:ascii="宋体" w:hAnsi="宋体" w:cs="Arial" w:hint="eastAsia"/>
          <w:kern w:val="0"/>
          <w:szCs w:val="21"/>
        </w:rPr>
        <w:t>在套利空间上方，</w:t>
      </w:r>
      <w:r w:rsidR="00E24477">
        <w:rPr>
          <w:rFonts w:ascii="宋体" w:hAnsi="宋体" w:cs="Arial" w:hint="eastAsia"/>
          <w:kern w:val="0"/>
          <w:szCs w:val="21"/>
        </w:rPr>
        <w:t>未来可能</w:t>
      </w:r>
      <w:r w:rsidR="000E34DB">
        <w:rPr>
          <w:rFonts w:ascii="宋体" w:hAnsi="宋体" w:cs="Arial" w:hint="eastAsia"/>
          <w:kern w:val="0"/>
          <w:szCs w:val="21"/>
        </w:rPr>
        <w:t>仍</w:t>
      </w:r>
      <w:r w:rsidR="00E24477">
        <w:rPr>
          <w:rFonts w:ascii="宋体" w:hAnsi="宋体" w:cs="Arial" w:hint="eastAsia"/>
          <w:kern w:val="0"/>
          <w:szCs w:val="21"/>
        </w:rPr>
        <w:t>有内蒙货源发往港口</w:t>
      </w:r>
      <w:r w:rsidR="00C407A9">
        <w:rPr>
          <w:rFonts w:ascii="宋体" w:hAnsi="宋体" w:cs="Arial" w:hint="eastAsia"/>
          <w:kern w:val="0"/>
          <w:szCs w:val="21"/>
        </w:rPr>
        <w:t>。</w:t>
      </w:r>
      <w:r w:rsidR="00D105B1">
        <w:rPr>
          <w:rFonts w:ascii="宋体" w:hAnsi="宋体" w:cs="Arial" w:hint="eastAsia"/>
          <w:kern w:val="0"/>
          <w:szCs w:val="21"/>
        </w:rPr>
        <w:t>港口甲醇价格高位盘整</w:t>
      </w:r>
      <w:r w:rsidR="00B71AE4">
        <w:rPr>
          <w:rFonts w:ascii="宋体" w:hAnsi="宋体" w:cs="Arial" w:hint="eastAsia"/>
          <w:kern w:val="0"/>
          <w:szCs w:val="21"/>
        </w:rPr>
        <w:t>，现货价格</w:t>
      </w:r>
      <w:r w:rsidR="000E34DB">
        <w:rPr>
          <w:rFonts w:ascii="宋体" w:hAnsi="宋体" w:cs="Arial" w:hint="eastAsia"/>
          <w:kern w:val="0"/>
          <w:szCs w:val="21"/>
        </w:rPr>
        <w:t>仍在高位徘徊</w:t>
      </w:r>
      <w:r w:rsidR="00B71AE4">
        <w:rPr>
          <w:rFonts w:ascii="宋体" w:hAnsi="宋体" w:cs="Arial" w:hint="eastAsia"/>
          <w:kern w:val="0"/>
          <w:szCs w:val="21"/>
        </w:rPr>
        <w:t>，大幅升水于主力合约，基差已经到历史高位。</w:t>
      </w:r>
    </w:p>
    <w:p w:rsidR="0029112E" w:rsidRDefault="00B2609F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B2609F">
        <w:rPr>
          <w:rFonts w:ascii="宋体" w:hAnsi="宋体" w:cs="Arial"/>
          <w:kern w:val="0"/>
          <w:szCs w:val="21"/>
        </w:rPr>
        <w:drawing>
          <wp:inline distT="0" distB="0" distL="0" distR="0">
            <wp:extent cx="6373492" cy="3278037"/>
            <wp:effectExtent l="19050" t="0" r="8258" b="0"/>
            <wp:docPr id="1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5212" cy="327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D105B1" w:rsidTr="00682AB2">
        <w:trPr>
          <w:cnfStyle w:val="000000100000"/>
        </w:trPr>
        <w:tc>
          <w:tcPr>
            <w:cnfStyle w:val="001000000000"/>
            <w:tcW w:w="3474" w:type="dxa"/>
          </w:tcPr>
          <w:p w:rsidR="00D105B1" w:rsidRDefault="00D105B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D105B1" w:rsidRDefault="00D105B1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22.2</w:t>
            </w:r>
          </w:p>
        </w:tc>
        <w:tc>
          <w:tcPr>
            <w:tcW w:w="3474" w:type="dxa"/>
          </w:tcPr>
          <w:p w:rsidR="00D105B1" w:rsidRDefault="00D105B1" w:rsidP="00F36256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24.5</w:t>
            </w:r>
          </w:p>
        </w:tc>
      </w:tr>
      <w:tr w:rsidR="00D105B1" w:rsidTr="00682AB2">
        <w:trPr>
          <w:cnfStyle w:val="000000010000"/>
        </w:trPr>
        <w:tc>
          <w:tcPr>
            <w:cnfStyle w:val="001000000000"/>
            <w:tcW w:w="3474" w:type="dxa"/>
          </w:tcPr>
          <w:p w:rsidR="00D105B1" w:rsidRDefault="00D105B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D105B1" w:rsidRDefault="00D105B1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5.85</w:t>
            </w:r>
          </w:p>
        </w:tc>
        <w:tc>
          <w:tcPr>
            <w:tcW w:w="3474" w:type="dxa"/>
          </w:tcPr>
          <w:p w:rsidR="00D105B1" w:rsidRDefault="00D105B1" w:rsidP="00F36256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7.1</w:t>
            </w:r>
          </w:p>
        </w:tc>
      </w:tr>
      <w:tr w:rsidR="00D105B1" w:rsidTr="00682AB2">
        <w:trPr>
          <w:cnfStyle w:val="000000100000"/>
        </w:trPr>
        <w:tc>
          <w:tcPr>
            <w:cnfStyle w:val="001000000000"/>
            <w:tcW w:w="3474" w:type="dxa"/>
          </w:tcPr>
          <w:p w:rsidR="00D105B1" w:rsidRDefault="00D105B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D105B1" w:rsidRDefault="00D105B1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21.7</w:t>
            </w:r>
          </w:p>
        </w:tc>
        <w:tc>
          <w:tcPr>
            <w:tcW w:w="3474" w:type="dxa"/>
          </w:tcPr>
          <w:p w:rsidR="00D105B1" w:rsidRDefault="00D105B1" w:rsidP="00F36256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16.7</w:t>
            </w:r>
          </w:p>
        </w:tc>
      </w:tr>
      <w:tr w:rsidR="00D105B1" w:rsidTr="00682AB2">
        <w:trPr>
          <w:cnfStyle w:val="000000010000"/>
        </w:trPr>
        <w:tc>
          <w:tcPr>
            <w:cnfStyle w:val="001000000000"/>
            <w:tcW w:w="3474" w:type="dxa"/>
          </w:tcPr>
          <w:p w:rsidR="00D105B1" w:rsidRDefault="00D105B1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D105B1" w:rsidRDefault="00D105B1" w:rsidP="00484348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49.75</w:t>
            </w:r>
          </w:p>
        </w:tc>
        <w:tc>
          <w:tcPr>
            <w:tcW w:w="3474" w:type="dxa"/>
          </w:tcPr>
          <w:p w:rsidR="00D105B1" w:rsidRDefault="00D105B1" w:rsidP="00F36256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48.3</w:t>
            </w:r>
          </w:p>
        </w:tc>
      </w:tr>
    </w:tbl>
    <w:p w:rsidR="00443C09" w:rsidRDefault="00D105B1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105B1">
        <w:rPr>
          <w:rFonts w:ascii="宋体" w:hAnsi="宋体" w:cs="Arial"/>
          <w:kern w:val="0"/>
          <w:szCs w:val="21"/>
        </w:rPr>
        <w:drawing>
          <wp:inline distT="0" distB="0" distL="0" distR="0">
            <wp:extent cx="6373124" cy="2759174"/>
            <wp:effectExtent l="19050" t="0" r="8626" b="0"/>
            <wp:docPr id="1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143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665B31">
        <w:rPr>
          <w:szCs w:val="21"/>
        </w:rPr>
        <w:t>，江苏甲醇库存在</w:t>
      </w:r>
      <w:r w:rsidR="00CE76FA">
        <w:rPr>
          <w:rFonts w:ascii="Calibri" w:hAnsi="Calibri" w:cs="Calibri" w:hint="eastAsia"/>
          <w:szCs w:val="21"/>
        </w:rPr>
        <w:t>2</w:t>
      </w:r>
      <w:r w:rsidR="00D105B1">
        <w:rPr>
          <w:rFonts w:ascii="Calibri" w:hAnsi="Calibri" w:cs="Calibri" w:hint="eastAsia"/>
          <w:szCs w:val="21"/>
        </w:rPr>
        <w:t>2.2</w:t>
      </w:r>
      <w:r w:rsidR="00665B31">
        <w:rPr>
          <w:szCs w:val="21"/>
        </w:rPr>
        <w:t>万吨（不加连云港地区库存），较上周</w:t>
      </w:r>
      <w:r w:rsidR="00D105B1">
        <w:rPr>
          <w:rFonts w:hint="eastAsia"/>
          <w:szCs w:val="21"/>
        </w:rPr>
        <w:t>减少</w:t>
      </w:r>
      <w:r w:rsidR="00D105B1">
        <w:rPr>
          <w:rFonts w:hint="eastAsia"/>
          <w:szCs w:val="21"/>
        </w:rPr>
        <w:t>2.3</w:t>
      </w:r>
      <w:r w:rsidR="00665B31">
        <w:rPr>
          <w:szCs w:val="21"/>
        </w:rPr>
        <w:t>吨。</w:t>
      </w:r>
      <w:r w:rsidR="00E25931">
        <w:rPr>
          <w:rFonts w:hint="eastAsia"/>
          <w:szCs w:val="21"/>
        </w:rPr>
        <w:t>华南库存</w:t>
      </w:r>
      <w:r w:rsidR="00D105B1">
        <w:rPr>
          <w:rFonts w:hint="eastAsia"/>
          <w:szCs w:val="21"/>
        </w:rPr>
        <w:t>5.85</w:t>
      </w:r>
      <w:r w:rsidR="00D105B1">
        <w:rPr>
          <w:rFonts w:hint="eastAsia"/>
          <w:szCs w:val="21"/>
        </w:rPr>
        <w:t>万吨，减少</w:t>
      </w:r>
      <w:r w:rsidR="00D105B1">
        <w:rPr>
          <w:rFonts w:hint="eastAsia"/>
          <w:szCs w:val="21"/>
        </w:rPr>
        <w:t>1.25</w:t>
      </w:r>
      <w:r w:rsidR="00D105B1">
        <w:rPr>
          <w:rFonts w:hint="eastAsia"/>
          <w:szCs w:val="21"/>
        </w:rPr>
        <w:t>万吨，浙江库存</w:t>
      </w:r>
      <w:r w:rsidR="00D105B1">
        <w:rPr>
          <w:rFonts w:hint="eastAsia"/>
          <w:szCs w:val="21"/>
        </w:rPr>
        <w:t>21.7</w:t>
      </w:r>
      <w:r w:rsidR="00D105B1">
        <w:rPr>
          <w:rFonts w:hint="eastAsia"/>
          <w:szCs w:val="21"/>
        </w:rPr>
        <w:t>万吨，增加</w:t>
      </w:r>
      <w:r w:rsidR="00D105B1">
        <w:rPr>
          <w:rFonts w:hint="eastAsia"/>
          <w:szCs w:val="21"/>
        </w:rPr>
        <w:t>5</w:t>
      </w:r>
      <w:r w:rsidR="00D105B1">
        <w:rPr>
          <w:rFonts w:hint="eastAsia"/>
          <w:szCs w:val="21"/>
        </w:rPr>
        <w:t>万吨，总库存</w:t>
      </w:r>
      <w:r w:rsidR="00D105B1">
        <w:rPr>
          <w:rFonts w:hint="eastAsia"/>
          <w:szCs w:val="21"/>
        </w:rPr>
        <w:t>49.75</w:t>
      </w:r>
      <w:r w:rsidR="00F94798">
        <w:rPr>
          <w:rFonts w:hint="eastAsia"/>
          <w:szCs w:val="21"/>
        </w:rPr>
        <w:t>万吨，增</w:t>
      </w:r>
      <w:r w:rsidR="00D105B1">
        <w:rPr>
          <w:rFonts w:hint="eastAsia"/>
          <w:szCs w:val="21"/>
        </w:rPr>
        <w:t>1.45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247100" w:rsidRDefault="00D105B1" w:rsidP="002471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105B1">
        <w:rPr>
          <w:rFonts w:ascii="宋体" w:hAnsi="宋体" w:cs="Arial"/>
          <w:kern w:val="0"/>
          <w:szCs w:val="21"/>
        </w:rPr>
        <w:drawing>
          <wp:inline distT="0" distB="0" distL="0" distR="0">
            <wp:extent cx="6442135" cy="2191110"/>
            <wp:effectExtent l="19050" t="0" r="0" b="0"/>
            <wp:docPr id="20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4246" cy="219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97" w:rsidRDefault="00C97E97" w:rsidP="00C97E97">
      <w:pPr>
        <w:autoSpaceDE w:val="0"/>
        <w:autoSpaceDN w:val="0"/>
        <w:adjustRightInd w:val="0"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C97E97" w:rsidRPr="00713078" w:rsidRDefault="00C97E97" w:rsidP="00C97E9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从交易所仓单来看，本周交易所仓单</w:t>
      </w:r>
      <w:r w:rsidR="00CB3612">
        <w:rPr>
          <w:rFonts w:ascii="宋体" w:hAnsi="宋体" w:cs="Arial" w:hint="eastAsia"/>
          <w:kern w:val="0"/>
          <w:szCs w:val="21"/>
        </w:rPr>
        <w:t>有所减少，目前有</w:t>
      </w:r>
      <w:r w:rsidR="00D105B1">
        <w:rPr>
          <w:rFonts w:ascii="宋体" w:hAnsi="宋体" w:cs="Arial" w:hint="eastAsia"/>
          <w:kern w:val="0"/>
          <w:szCs w:val="21"/>
        </w:rPr>
        <w:t>1</w:t>
      </w:r>
      <w:r w:rsidR="00CB3612">
        <w:rPr>
          <w:rFonts w:ascii="宋体" w:hAnsi="宋体" w:cs="Arial" w:hint="eastAsia"/>
          <w:kern w:val="0"/>
          <w:szCs w:val="21"/>
        </w:rPr>
        <w:t>10张，较上周大幅减少</w:t>
      </w:r>
      <w:r w:rsidR="00D105B1">
        <w:rPr>
          <w:rFonts w:ascii="宋体" w:hAnsi="宋体" w:cs="Arial" w:hint="eastAsia"/>
          <w:kern w:val="0"/>
          <w:szCs w:val="21"/>
        </w:rPr>
        <w:t>5</w:t>
      </w:r>
      <w:r w:rsidR="00CB3612">
        <w:rPr>
          <w:rFonts w:ascii="宋体" w:hAnsi="宋体" w:cs="Arial" w:hint="eastAsia"/>
          <w:kern w:val="0"/>
          <w:szCs w:val="21"/>
        </w:rPr>
        <w:t>00张</w:t>
      </w:r>
      <w:r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D105B1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D105B1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12339" cy="2087593"/>
            <wp:effectExtent l="19050" t="0" r="0" b="0"/>
            <wp:docPr id="21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2463" cy="208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5B1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89976" cy="2085614"/>
            <wp:effectExtent l="19050" t="0" r="0" b="0"/>
            <wp:docPr id="2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91022" cy="20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247100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外盘甲醇本周变化不大，东南亚甲醇有所上涨，中国下跌，美湾、欧洲甲醇也有小幅上涨</w:t>
      </w:r>
      <w:r w:rsidR="000907C0">
        <w:rPr>
          <w:rFonts w:ascii="宋体" w:hAnsi="宋体" w:cs="Arial" w:hint="eastAsia"/>
          <w:kern w:val="0"/>
          <w:szCs w:val="21"/>
        </w:rPr>
        <w:t>。</w:t>
      </w:r>
      <w:r w:rsidR="00E962DE">
        <w:rPr>
          <w:rFonts w:ascii="宋体" w:hAnsi="宋体" w:cs="Arial" w:hint="eastAsia"/>
          <w:kern w:val="0"/>
          <w:szCs w:val="21"/>
        </w:rPr>
        <w:t>进口利润继续大幅增加，目前进口正挂，未来进口可能继续增加。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D105B1" w:rsidTr="0029112E">
        <w:trPr>
          <w:cnfStyle w:val="000000100000"/>
        </w:trPr>
        <w:tc>
          <w:tcPr>
            <w:cnfStyle w:val="001000000000"/>
            <w:tcW w:w="3474" w:type="dxa"/>
          </w:tcPr>
          <w:p w:rsidR="00D105B1" w:rsidRDefault="00D105B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D105B1" w:rsidRDefault="00E962DE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410</w:t>
            </w:r>
          </w:p>
        </w:tc>
        <w:tc>
          <w:tcPr>
            <w:tcW w:w="3474" w:type="dxa"/>
          </w:tcPr>
          <w:p w:rsidR="00D105B1" w:rsidRDefault="00D105B1" w:rsidP="00F3625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395</w:t>
            </w:r>
          </w:p>
        </w:tc>
      </w:tr>
      <w:tr w:rsidR="00D105B1" w:rsidTr="0029112E">
        <w:trPr>
          <w:cnfStyle w:val="000000010000"/>
        </w:trPr>
        <w:tc>
          <w:tcPr>
            <w:cnfStyle w:val="001000000000"/>
            <w:tcW w:w="3474" w:type="dxa"/>
          </w:tcPr>
          <w:p w:rsidR="00D105B1" w:rsidRDefault="00D105B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D105B1" w:rsidRDefault="00E962DE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400</w:t>
            </w:r>
          </w:p>
        </w:tc>
        <w:tc>
          <w:tcPr>
            <w:tcW w:w="3474" w:type="dxa"/>
          </w:tcPr>
          <w:p w:rsidR="00D105B1" w:rsidRDefault="00D105B1" w:rsidP="00F36256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400</w:t>
            </w:r>
          </w:p>
        </w:tc>
      </w:tr>
      <w:tr w:rsidR="00D105B1" w:rsidTr="0029112E">
        <w:trPr>
          <w:cnfStyle w:val="000000100000"/>
        </w:trPr>
        <w:tc>
          <w:tcPr>
            <w:cnfStyle w:val="001000000000"/>
            <w:tcW w:w="3474" w:type="dxa"/>
          </w:tcPr>
          <w:p w:rsidR="00D105B1" w:rsidRDefault="00D105B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D105B1" w:rsidRDefault="00E962DE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433</w:t>
            </w:r>
          </w:p>
        </w:tc>
        <w:tc>
          <w:tcPr>
            <w:tcW w:w="3474" w:type="dxa"/>
          </w:tcPr>
          <w:p w:rsidR="00D105B1" w:rsidRDefault="00D105B1" w:rsidP="00F3625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431</w:t>
            </w:r>
          </w:p>
        </w:tc>
      </w:tr>
      <w:tr w:rsidR="00D105B1" w:rsidTr="0029112E">
        <w:trPr>
          <w:cnfStyle w:val="000000010000"/>
        </w:trPr>
        <w:tc>
          <w:tcPr>
            <w:cnfStyle w:val="001000000000"/>
            <w:tcW w:w="3474" w:type="dxa"/>
          </w:tcPr>
          <w:p w:rsidR="00D105B1" w:rsidRDefault="00D105B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D105B1" w:rsidRDefault="00E962DE" w:rsidP="00CB3612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359.5</w:t>
            </w:r>
          </w:p>
        </w:tc>
        <w:tc>
          <w:tcPr>
            <w:tcW w:w="3474" w:type="dxa"/>
          </w:tcPr>
          <w:p w:rsidR="00D105B1" w:rsidRDefault="00D105B1" w:rsidP="00F36256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360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B93D1D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B93D1D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495" cy="2678822"/>
            <wp:effectExtent l="19050" t="0" r="8255" b="0"/>
            <wp:docPr id="1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75583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数据来源：wind，通惠期货研发部</w:t>
      </w:r>
    </w:p>
    <w:p w:rsidR="004F5A53" w:rsidRDefault="00B6671D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目前各个区域间价差都比较小</w:t>
      </w:r>
      <w:r w:rsidR="00BD7D0F">
        <w:rPr>
          <w:rFonts w:ascii="宋体" w:hAnsi="宋体" w:cs="Arial" w:hint="eastAsia"/>
          <w:kern w:val="0"/>
          <w:szCs w:val="21"/>
        </w:rPr>
        <w:t>，套利</w:t>
      </w:r>
      <w:r w:rsidR="000907C0">
        <w:rPr>
          <w:rFonts w:ascii="宋体" w:hAnsi="宋体" w:cs="Arial" w:hint="eastAsia"/>
          <w:kern w:val="0"/>
          <w:szCs w:val="21"/>
        </w:rPr>
        <w:t>空间</w:t>
      </w:r>
      <w:r w:rsidR="00BD7D0F">
        <w:rPr>
          <w:rFonts w:ascii="宋体" w:hAnsi="宋体" w:cs="Arial" w:hint="eastAsia"/>
          <w:kern w:val="0"/>
          <w:szCs w:val="21"/>
        </w:rPr>
        <w:t>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E962DE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962DE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286859" cy="2766796"/>
            <wp:effectExtent l="19050" t="0" r="0" b="0"/>
            <wp:docPr id="23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85187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E962DE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73495" cy="2924355"/>
            <wp:effectExtent l="19050" t="0" r="8255" b="0"/>
            <wp:docPr id="25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0577" cy="292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E962DE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color w:val="000000"/>
          <w:szCs w:val="21"/>
          <w:lang w:val="zh-CN"/>
        </w:rPr>
        <w:lastRenderedPageBreak/>
        <w:drawing>
          <wp:inline distT="0" distB="0" distL="0" distR="0">
            <wp:extent cx="6373495" cy="3209027"/>
            <wp:effectExtent l="19050" t="0" r="8255" b="0"/>
            <wp:docPr id="26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81584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CB3612" w:rsidRDefault="00E962DE" w:rsidP="00E962D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E962DE">
        <w:rPr>
          <w:rFonts w:ascii="宋体" w:hAnsi="宋体" w:cs="Arial" w:hint="eastAsia"/>
          <w:kern w:val="0"/>
          <w:szCs w:val="21"/>
        </w:rPr>
        <w:t>本周国内甲醇下游产品表现各异，醋酸、</w:t>
      </w:r>
      <w:r w:rsidRPr="00E962DE">
        <w:rPr>
          <w:rFonts w:ascii="宋体" w:hAnsi="宋体" w:cs="Arial"/>
          <w:kern w:val="0"/>
          <w:szCs w:val="21"/>
        </w:rPr>
        <w:t>DMF</w:t>
      </w:r>
      <w:r w:rsidRPr="00E962DE">
        <w:rPr>
          <w:rFonts w:ascii="宋体" w:hAnsi="宋体" w:cs="Arial" w:hint="eastAsia"/>
          <w:kern w:val="0"/>
          <w:szCs w:val="21"/>
        </w:rPr>
        <w:t>有所上涨，其余产品普遍下挫，二甲醚产品跌幅较大，丙烯单体周下滑</w:t>
      </w:r>
      <w:r w:rsidRPr="00E962DE">
        <w:rPr>
          <w:rFonts w:ascii="宋体" w:hAnsi="宋体" w:cs="Arial"/>
          <w:kern w:val="0"/>
          <w:szCs w:val="21"/>
        </w:rPr>
        <w:t>0.54%</w:t>
      </w:r>
      <w:r w:rsidRPr="00E962DE">
        <w:rPr>
          <w:rFonts w:ascii="宋体" w:hAnsi="宋体" w:cs="Arial" w:hint="eastAsia"/>
          <w:kern w:val="0"/>
          <w:szCs w:val="21"/>
        </w:rPr>
        <w:t>。国内煤（甲醇）制烯烃项目开工略有下滑，西北主要烯烃装置运行维持前期，多数正常；山东联泓烯烃装置临时短停几日，开工在六七成附近。港口一带部分装置开工降至七成，兴兴尚未恢复。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90824" w:rsidRDefault="00E962DE" w:rsidP="00E962DE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E962DE">
        <w:rPr>
          <w:rFonts w:ascii="宋体" w:hAnsi="宋体" w:cs="Arial" w:hint="eastAsia"/>
          <w:kern w:val="0"/>
          <w:szCs w:val="21"/>
        </w:rPr>
        <w:t>在雨雪天气、春节前工厂预售、终端备货进度不一的前期下，下周我国甲醇或呈现区域行情，鉴于资金收拢等条件限制，波动幅度有限。内地西北工厂节前排库情况不一，内蒙多数工厂预售至春节之后，关中仍有压力；受此影响，河北、山东一线或将止跌，在运费上涨预期推动下，局部有反弹可能；而河南、两湖一带仍需关注雨雪天气影响到货周期、关中低价货物的冲击。港口进口到货相对平稳，而内地货物、纸货价差回归等因素影响，暂时对下周行情看淡</w:t>
      </w:r>
      <w:r>
        <w:rPr>
          <w:rFonts w:hint="eastAsia"/>
          <w:color w:val="3E3E3E"/>
          <w:sz w:val="22"/>
          <w:szCs w:val="22"/>
          <w:shd w:val="clear" w:color="auto" w:fill="FFFFFF"/>
        </w:rPr>
        <w:t>。</w:t>
      </w:r>
    </w:p>
    <w:p w:rsidR="00CB3612" w:rsidRDefault="00CB3612" w:rsidP="00E962DE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</w:p>
    <w:p w:rsidR="00CB3612" w:rsidRPr="00E25A96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B2" w:rsidRDefault="001849B2">
      <w:r>
        <w:separator/>
      </w:r>
    </w:p>
  </w:endnote>
  <w:endnote w:type="continuationSeparator" w:id="1">
    <w:p w:rsidR="001849B2" w:rsidRDefault="0018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F675A8">
    <w:pPr>
      <w:pStyle w:val="ab"/>
      <w:jc w:val="center"/>
    </w:pPr>
    <w:fldSimple w:instr=" PAGE   \* MERGEFORMAT ">
      <w:r w:rsidR="00E962DE" w:rsidRPr="00E962DE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F675A8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B2" w:rsidRDefault="001849B2">
      <w:r>
        <w:separator/>
      </w:r>
    </w:p>
  </w:footnote>
  <w:footnote w:type="continuationSeparator" w:id="1">
    <w:p w:rsidR="001849B2" w:rsidRDefault="00184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F675A8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F675A8" w:rsidP="00C32A93">
    <w:pPr>
      <w:rPr>
        <w:rFonts w:ascii="华文新魏" w:eastAsia="华文新魏"/>
        <w:i/>
        <w:color w:val="17365D"/>
        <w:sz w:val="44"/>
      </w:rPr>
    </w:pPr>
    <w:r w:rsidRPr="00F675A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F675A8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675A8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49B2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75B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1E9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348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F80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09F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36E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3612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5B1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2DE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675A8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4687</TotalTime>
  <Pages>7</Pages>
  <Words>305</Words>
  <Characters>1743</Characters>
  <Application>Microsoft Office Word</Application>
  <DocSecurity>0</DocSecurity>
  <Lines>14</Lines>
  <Paragraphs>4</Paragraphs>
  <ScaleCrop>false</ScaleCrop>
  <Company>cicc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102</cp:revision>
  <cp:lastPrinted>2014-12-12T08:51:00Z</cp:lastPrinted>
  <dcterms:created xsi:type="dcterms:W3CDTF">2017-02-09T08:52:00Z</dcterms:created>
  <dcterms:modified xsi:type="dcterms:W3CDTF">2018-01-29T08:49:00Z</dcterms:modified>
</cp:coreProperties>
</file>