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CE57B5" w:rsidRPr="00CE57B5" w:rsidTr="00CE57B5">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44"/>
                <w:szCs w:val="44"/>
              </w:rPr>
              <w:t>通惠期货</w:t>
            </w:r>
            <w:r w:rsidRPr="00CE57B5">
              <w:rPr>
                <w:rFonts w:ascii="楷体" w:eastAsia="楷体" w:hAnsi="楷体" w:cs="宋体" w:hint="eastAsia"/>
                <w:color w:val="000000"/>
                <w:kern w:val="0"/>
                <w:sz w:val="24"/>
                <w:szCs w:val="24"/>
              </w:rPr>
              <w:br/>
              <w:t>甲醇日报2018.1.26</w:t>
            </w:r>
          </w:p>
        </w:tc>
        <w:tc>
          <w:tcPr>
            <w:tcW w:w="1060" w:type="dxa"/>
            <w:tcBorders>
              <w:top w:val="single" w:sz="4" w:space="0" w:color="auto"/>
              <w:left w:val="nil"/>
              <w:bottom w:val="nil"/>
              <w:right w:val="single" w:sz="4" w:space="0" w:color="auto"/>
            </w:tcBorders>
            <w:shd w:val="clear" w:color="000000" w:fill="F2DDDC"/>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涨跌幅（百分比）</w:t>
            </w:r>
          </w:p>
        </w:tc>
      </w:tr>
      <w:tr w:rsidR="00CE57B5" w:rsidRPr="00CE57B5" w:rsidTr="00CE57B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6.3724</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6.3916</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-0.0192</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-0.30%</w:t>
            </w:r>
          </w:p>
        </w:tc>
      </w:tr>
      <w:tr w:rsidR="00CE57B5" w:rsidRPr="00CE57B5" w:rsidTr="00CE57B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70.42</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70.53</w:t>
            </w:r>
          </w:p>
        </w:tc>
        <w:tc>
          <w:tcPr>
            <w:tcW w:w="108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-0.11</w:t>
            </w:r>
          </w:p>
        </w:tc>
        <w:tc>
          <w:tcPr>
            <w:tcW w:w="136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-0.16%</w:t>
            </w:r>
          </w:p>
        </w:tc>
      </w:tr>
      <w:tr w:rsidR="00CE57B5" w:rsidRPr="00CE57B5" w:rsidTr="00CE57B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668.4</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665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3.4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0.51%</w:t>
            </w:r>
          </w:p>
        </w:tc>
      </w:tr>
      <w:tr w:rsidR="00CE57B5" w:rsidRPr="00CE57B5" w:rsidTr="00CE57B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3465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3450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0.43%</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3455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3475</w:t>
            </w:r>
          </w:p>
        </w:tc>
        <w:tc>
          <w:tcPr>
            <w:tcW w:w="108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-20</w:t>
            </w:r>
          </w:p>
        </w:tc>
        <w:tc>
          <w:tcPr>
            <w:tcW w:w="136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-0.58%</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2925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3040</w:t>
            </w:r>
          </w:p>
        </w:tc>
        <w:tc>
          <w:tcPr>
            <w:tcW w:w="108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-115</w:t>
            </w:r>
          </w:p>
        </w:tc>
        <w:tc>
          <w:tcPr>
            <w:tcW w:w="136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-3.78%</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3380</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3380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3065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3075</w:t>
            </w:r>
          </w:p>
        </w:tc>
        <w:tc>
          <w:tcPr>
            <w:tcW w:w="108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-0.33%</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2450</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2842</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2816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26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0.92%</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2745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2715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1.10%</w:t>
            </w:r>
          </w:p>
        </w:tc>
      </w:tr>
      <w:tr w:rsidR="00CE57B5" w:rsidRPr="00CE57B5" w:rsidTr="00CE57B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395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395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400</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400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 xml:space="preserve">433 </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 xml:space="preserve">433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362.5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362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0.5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0.14%</w:t>
            </w:r>
          </w:p>
        </w:tc>
      </w:tr>
      <w:tr w:rsidR="00CE57B5" w:rsidRPr="00CE57B5" w:rsidTr="00CE57B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9543</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9497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46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0.48%</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9945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9870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75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0.76%</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1585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1585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4800</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4800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4000</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4200</w:t>
            </w:r>
          </w:p>
        </w:tc>
        <w:tc>
          <w:tcPr>
            <w:tcW w:w="108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-200</w:t>
            </w:r>
          </w:p>
        </w:tc>
        <w:tc>
          <w:tcPr>
            <w:tcW w:w="136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-4.76%</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6190</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6190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-97</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-101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4</w:t>
            </w:r>
          </w:p>
        </w:tc>
        <w:tc>
          <w:tcPr>
            <w:tcW w:w="136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-3.96%</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623</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634</w:t>
            </w:r>
          </w:p>
        </w:tc>
        <w:tc>
          <w:tcPr>
            <w:tcW w:w="108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-11</w:t>
            </w:r>
          </w:p>
        </w:tc>
        <w:tc>
          <w:tcPr>
            <w:tcW w:w="136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-1.74%</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 xml:space="preserve">283 </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 xml:space="preserve">259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 xml:space="preserve">24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9.43%</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-85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-70</w:t>
            </w:r>
          </w:p>
        </w:tc>
        <w:tc>
          <w:tcPr>
            <w:tcW w:w="108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21.43%</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-540</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-410</w:t>
            </w:r>
          </w:p>
        </w:tc>
        <w:tc>
          <w:tcPr>
            <w:tcW w:w="108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-130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31.71%</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-1015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-1000</w:t>
            </w:r>
          </w:p>
        </w:tc>
        <w:tc>
          <w:tcPr>
            <w:tcW w:w="108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1.50%</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-38.048</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-38.048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-505.5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-508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-0.49%</w:t>
            </w:r>
          </w:p>
        </w:tc>
      </w:tr>
      <w:tr w:rsidR="00CE57B5" w:rsidRPr="00CE57B5" w:rsidTr="00CE57B5">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22.2</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24.5</w:t>
            </w:r>
          </w:p>
        </w:tc>
        <w:tc>
          <w:tcPr>
            <w:tcW w:w="108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-2.3</w:t>
            </w:r>
          </w:p>
        </w:tc>
        <w:tc>
          <w:tcPr>
            <w:tcW w:w="136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-9.39%</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5.85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7.1</w:t>
            </w:r>
          </w:p>
        </w:tc>
        <w:tc>
          <w:tcPr>
            <w:tcW w:w="108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-1.25</w:t>
            </w:r>
          </w:p>
        </w:tc>
        <w:tc>
          <w:tcPr>
            <w:tcW w:w="1360" w:type="dxa"/>
            <w:tcBorders>
              <w:top w:val="nil"/>
              <w:left w:val="nil"/>
              <w:bottom w:val="single" w:sz="4" w:space="0" w:color="auto"/>
              <w:right w:val="single" w:sz="4" w:space="0" w:color="auto"/>
            </w:tcBorders>
            <w:shd w:val="clear" w:color="000000" w:fill="C6EFCE"/>
            <w:vAlign w:val="center"/>
            <w:hideMark/>
          </w:tcPr>
          <w:p w:rsidR="00CE57B5" w:rsidRPr="00CE57B5" w:rsidRDefault="00CE57B5" w:rsidP="00CE57B5">
            <w:pPr>
              <w:widowControl/>
              <w:jc w:val="center"/>
              <w:rPr>
                <w:rFonts w:ascii="楷体" w:eastAsia="楷体" w:hAnsi="楷体" w:cs="宋体"/>
                <w:color w:val="006100"/>
                <w:kern w:val="0"/>
                <w:sz w:val="24"/>
                <w:szCs w:val="24"/>
              </w:rPr>
            </w:pPr>
            <w:r w:rsidRPr="00CE57B5">
              <w:rPr>
                <w:rFonts w:ascii="楷体" w:eastAsia="楷体" w:hAnsi="楷体" w:cs="宋体" w:hint="eastAsia"/>
                <w:color w:val="006100"/>
                <w:kern w:val="0"/>
                <w:sz w:val="24"/>
                <w:szCs w:val="24"/>
              </w:rPr>
              <w:t>-17.61%</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21.7</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16.7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29.94%</w:t>
            </w:r>
          </w:p>
        </w:tc>
      </w:tr>
      <w:tr w:rsidR="00CE57B5" w:rsidRPr="00CE57B5" w:rsidTr="00CE57B5">
        <w:trPr>
          <w:trHeight w:val="285"/>
        </w:trPr>
        <w:tc>
          <w:tcPr>
            <w:tcW w:w="1440" w:type="dxa"/>
            <w:vMerge/>
            <w:tcBorders>
              <w:top w:val="nil"/>
              <w:left w:val="single" w:sz="4" w:space="0" w:color="auto"/>
              <w:bottom w:val="single" w:sz="4" w:space="0" w:color="000000"/>
              <w:right w:val="single" w:sz="4" w:space="0" w:color="auto"/>
            </w:tcBorders>
            <w:vAlign w:val="center"/>
            <w:hideMark/>
          </w:tcPr>
          <w:p w:rsidR="00CE57B5" w:rsidRPr="00CE57B5" w:rsidRDefault="00CE57B5" w:rsidP="00CE57B5">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49.75</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48.3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1.45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E57B5" w:rsidRPr="00CE57B5" w:rsidRDefault="00CE57B5" w:rsidP="00CE57B5">
            <w:pPr>
              <w:widowControl/>
              <w:jc w:val="center"/>
              <w:rPr>
                <w:rFonts w:ascii="楷体" w:eastAsia="楷体" w:hAnsi="楷体" w:cs="宋体"/>
                <w:color w:val="9C0006"/>
                <w:kern w:val="0"/>
                <w:sz w:val="24"/>
                <w:szCs w:val="24"/>
              </w:rPr>
            </w:pPr>
            <w:r w:rsidRPr="00CE57B5">
              <w:rPr>
                <w:rFonts w:ascii="楷体" w:eastAsia="楷体" w:hAnsi="楷体" w:cs="宋体" w:hint="eastAsia"/>
                <w:color w:val="9C0006"/>
                <w:kern w:val="0"/>
                <w:sz w:val="24"/>
                <w:szCs w:val="24"/>
              </w:rPr>
              <w:t>3.00%</w:t>
            </w:r>
          </w:p>
        </w:tc>
      </w:tr>
      <w:tr w:rsidR="00CE57B5" w:rsidRPr="00CE57B5" w:rsidTr="00CE57B5">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610</w:t>
            </w:r>
          </w:p>
        </w:tc>
        <w:tc>
          <w:tcPr>
            <w:tcW w:w="1060" w:type="dxa"/>
            <w:tcBorders>
              <w:top w:val="nil"/>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610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E57B5" w:rsidRPr="00CE57B5" w:rsidRDefault="00CE57B5" w:rsidP="00CE57B5">
            <w:pPr>
              <w:widowControl/>
              <w:jc w:val="center"/>
              <w:rPr>
                <w:rFonts w:ascii="楷体" w:eastAsia="楷体" w:hAnsi="楷体" w:cs="宋体"/>
                <w:color w:val="9C6500"/>
                <w:kern w:val="0"/>
                <w:sz w:val="24"/>
                <w:szCs w:val="24"/>
              </w:rPr>
            </w:pPr>
            <w:r w:rsidRPr="00CE57B5">
              <w:rPr>
                <w:rFonts w:ascii="楷体" w:eastAsia="楷体" w:hAnsi="楷体" w:cs="宋体" w:hint="eastAsia"/>
                <w:color w:val="9C6500"/>
                <w:kern w:val="0"/>
                <w:sz w:val="24"/>
                <w:szCs w:val="24"/>
              </w:rPr>
              <w:t>0.00%</w:t>
            </w:r>
          </w:p>
        </w:tc>
      </w:tr>
      <w:tr w:rsidR="00CE57B5" w:rsidRPr="00CE57B5" w:rsidTr="00CE57B5">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CE57B5" w:rsidRPr="00CE57B5" w:rsidRDefault="00CE57B5" w:rsidP="00CE57B5">
            <w:pPr>
              <w:widowControl/>
              <w:jc w:val="left"/>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1.吉林康乃尔30万吨/年甲醇制烯烃项目顺利中交。</w:t>
            </w:r>
            <w:r w:rsidRPr="00CE57B5">
              <w:rPr>
                <w:rFonts w:ascii="楷体" w:eastAsia="楷体" w:hAnsi="楷体" w:cs="宋体" w:hint="eastAsia"/>
                <w:color w:val="000000"/>
                <w:kern w:val="0"/>
                <w:sz w:val="24"/>
                <w:szCs w:val="24"/>
              </w:rPr>
              <w:br/>
              <w:t>2.中煤远兴甲醇装置复产。</w:t>
            </w:r>
            <w:r w:rsidRPr="00CE57B5">
              <w:rPr>
                <w:rFonts w:ascii="楷体" w:eastAsia="楷体" w:hAnsi="楷体" w:cs="宋体" w:hint="eastAsia"/>
                <w:color w:val="000000"/>
                <w:kern w:val="0"/>
                <w:sz w:val="24"/>
                <w:szCs w:val="24"/>
              </w:rPr>
              <w:br/>
              <w:t>3.浙江兴兴1月份停车检修35天。</w:t>
            </w:r>
          </w:p>
        </w:tc>
      </w:tr>
      <w:tr w:rsidR="00CE57B5" w:rsidRPr="00CE57B5" w:rsidTr="00CE57B5">
        <w:trPr>
          <w:trHeight w:val="499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甲醇主力合约1805夜盘冲高回落，收于2838元/吨，较前日结算价格上涨0.07%；现货方面：江苏报盘3420-3430元/吨，1月下旬期货商谈在3350-3370元/吨，2月下旬期货商谈参考3120-3140元/吨；山东南部地区当地主力工厂报盘下调至3070-3100元/吨，且当地下游开工负荷有降，持货商观望气氛居多，随行谨慎出货；内蒙古地区2450-2550元/吨，部分前期订单走货顺利，新单有待观察。随着近期国内局部地区开始迎来雨雪天气，物流收到的影响加大，内地价格小幅下跌，工厂倾向于加快排库进程，本周西北价格继续下跌，从实际了解的情况来看，排库基本到位，那么预计接下来产区的价格可能相对稳定，销区由于物流到货成本增加和车量运输减少的缘故可能相对稳定或者小幅上涨；港口方面，太仓近期还是有间歇式封航，短期可流通货物有限，后期等待装卸的船期较多，接下来关注物流情况以及销区市场情况；中期供需来看，随着煤制甲醇开工率高位稳定，进口的逐步增加，供需转宽松，预计接下来整体库存将逐步累积，月底西南部分天然气制甲醇装置有重启的可能性，从本周港口库存来看，江苏、华南库存有所下滑，浙江库存增加，供需面来看，短空。</w:t>
            </w:r>
          </w:p>
        </w:tc>
      </w:tr>
      <w:tr w:rsidR="00CE57B5" w:rsidRPr="00CE57B5" w:rsidTr="00CE57B5">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CE57B5" w:rsidRPr="00CE57B5" w:rsidRDefault="00CE57B5" w:rsidP="00CE57B5">
            <w:pPr>
              <w:widowControl/>
              <w:jc w:val="center"/>
              <w:rPr>
                <w:rFonts w:ascii="楷体" w:eastAsia="楷体" w:hAnsi="楷体" w:cs="宋体"/>
                <w:color w:val="000000"/>
                <w:kern w:val="0"/>
                <w:sz w:val="24"/>
                <w:szCs w:val="24"/>
              </w:rPr>
            </w:pPr>
            <w:r w:rsidRPr="00CE57B5">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D130D0" w:rsidRDefault="00BC5157"/>
    <w:sectPr w:rsidR="00BC5157" w:rsidRPr="00D130D0"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C14" w:rsidRDefault="00522C14" w:rsidP="00487B29">
      <w:r>
        <w:separator/>
      </w:r>
    </w:p>
  </w:endnote>
  <w:endnote w:type="continuationSeparator" w:id="1">
    <w:p w:rsidR="00522C14" w:rsidRDefault="00522C14"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C14" w:rsidRDefault="00522C14" w:rsidP="00487B29">
      <w:r>
        <w:separator/>
      </w:r>
    </w:p>
  </w:footnote>
  <w:footnote w:type="continuationSeparator" w:id="1">
    <w:p w:rsidR="00522C14" w:rsidRDefault="00522C14"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07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C7A"/>
    <w:rsid w:val="0009055F"/>
    <w:rsid w:val="00091A01"/>
    <w:rsid w:val="00093968"/>
    <w:rsid w:val="00094136"/>
    <w:rsid w:val="0009549A"/>
    <w:rsid w:val="000A2F4A"/>
    <w:rsid w:val="000A321D"/>
    <w:rsid w:val="000B3BCE"/>
    <w:rsid w:val="000B614A"/>
    <w:rsid w:val="000C697F"/>
    <w:rsid w:val="000D17EB"/>
    <w:rsid w:val="000D3EB3"/>
    <w:rsid w:val="000D41B4"/>
    <w:rsid w:val="000D5BA4"/>
    <w:rsid w:val="000D6603"/>
    <w:rsid w:val="000E020A"/>
    <w:rsid w:val="000E58FA"/>
    <w:rsid w:val="000E6CBF"/>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61895"/>
    <w:rsid w:val="001630B5"/>
    <w:rsid w:val="001636E5"/>
    <w:rsid w:val="0016738A"/>
    <w:rsid w:val="0017301E"/>
    <w:rsid w:val="00175547"/>
    <w:rsid w:val="001755AC"/>
    <w:rsid w:val="00177450"/>
    <w:rsid w:val="001828A3"/>
    <w:rsid w:val="00182E72"/>
    <w:rsid w:val="0018341C"/>
    <w:rsid w:val="001834FB"/>
    <w:rsid w:val="001862DE"/>
    <w:rsid w:val="001927DB"/>
    <w:rsid w:val="0019514E"/>
    <w:rsid w:val="001951C8"/>
    <w:rsid w:val="001A2871"/>
    <w:rsid w:val="001A550F"/>
    <w:rsid w:val="001A69AA"/>
    <w:rsid w:val="001A72F1"/>
    <w:rsid w:val="001B1248"/>
    <w:rsid w:val="001B6971"/>
    <w:rsid w:val="001C0219"/>
    <w:rsid w:val="001C4F69"/>
    <w:rsid w:val="001D53CD"/>
    <w:rsid w:val="001E228F"/>
    <w:rsid w:val="001E305C"/>
    <w:rsid w:val="001F3BA8"/>
    <w:rsid w:val="001F6E2D"/>
    <w:rsid w:val="00202219"/>
    <w:rsid w:val="00214029"/>
    <w:rsid w:val="00214397"/>
    <w:rsid w:val="002228A5"/>
    <w:rsid w:val="0022738D"/>
    <w:rsid w:val="00234CAF"/>
    <w:rsid w:val="00235286"/>
    <w:rsid w:val="002507D6"/>
    <w:rsid w:val="0025606A"/>
    <w:rsid w:val="002624AF"/>
    <w:rsid w:val="002640D2"/>
    <w:rsid w:val="002701D8"/>
    <w:rsid w:val="00270847"/>
    <w:rsid w:val="0027499D"/>
    <w:rsid w:val="00275674"/>
    <w:rsid w:val="00281601"/>
    <w:rsid w:val="002828E5"/>
    <w:rsid w:val="0028317D"/>
    <w:rsid w:val="00285732"/>
    <w:rsid w:val="00291966"/>
    <w:rsid w:val="00292BFE"/>
    <w:rsid w:val="002971F8"/>
    <w:rsid w:val="002A0117"/>
    <w:rsid w:val="002A47C3"/>
    <w:rsid w:val="002B3C1D"/>
    <w:rsid w:val="002B3F5F"/>
    <w:rsid w:val="002B42C0"/>
    <w:rsid w:val="002B557D"/>
    <w:rsid w:val="002D322C"/>
    <w:rsid w:val="002D3791"/>
    <w:rsid w:val="002D5007"/>
    <w:rsid w:val="002E544D"/>
    <w:rsid w:val="002F1F15"/>
    <w:rsid w:val="002F28D1"/>
    <w:rsid w:val="002F7C4B"/>
    <w:rsid w:val="002F7DE8"/>
    <w:rsid w:val="003152C2"/>
    <w:rsid w:val="003238ED"/>
    <w:rsid w:val="00324735"/>
    <w:rsid w:val="00325876"/>
    <w:rsid w:val="003314C6"/>
    <w:rsid w:val="0033427A"/>
    <w:rsid w:val="003408F2"/>
    <w:rsid w:val="003409A1"/>
    <w:rsid w:val="00341B72"/>
    <w:rsid w:val="00342DBB"/>
    <w:rsid w:val="0035243F"/>
    <w:rsid w:val="003524A8"/>
    <w:rsid w:val="00360DE7"/>
    <w:rsid w:val="00365201"/>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7EB1"/>
    <w:rsid w:val="003C48C3"/>
    <w:rsid w:val="003C511F"/>
    <w:rsid w:val="003C51B8"/>
    <w:rsid w:val="003C58E4"/>
    <w:rsid w:val="003C5B51"/>
    <w:rsid w:val="003C5DA5"/>
    <w:rsid w:val="003D06BF"/>
    <w:rsid w:val="003D36EA"/>
    <w:rsid w:val="003E3B6B"/>
    <w:rsid w:val="003E3B81"/>
    <w:rsid w:val="003E4207"/>
    <w:rsid w:val="003F3462"/>
    <w:rsid w:val="003F3E81"/>
    <w:rsid w:val="003F75EB"/>
    <w:rsid w:val="00402396"/>
    <w:rsid w:val="00404C72"/>
    <w:rsid w:val="00406813"/>
    <w:rsid w:val="00411D18"/>
    <w:rsid w:val="00414BAB"/>
    <w:rsid w:val="00415852"/>
    <w:rsid w:val="00432209"/>
    <w:rsid w:val="00434AE3"/>
    <w:rsid w:val="0043536B"/>
    <w:rsid w:val="00440B62"/>
    <w:rsid w:val="004467B0"/>
    <w:rsid w:val="00451B3D"/>
    <w:rsid w:val="00457BB8"/>
    <w:rsid w:val="00462519"/>
    <w:rsid w:val="0046683D"/>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22DF"/>
    <w:rsid w:val="004E75D7"/>
    <w:rsid w:val="004F114C"/>
    <w:rsid w:val="004F3A90"/>
    <w:rsid w:val="004F76F4"/>
    <w:rsid w:val="005027E5"/>
    <w:rsid w:val="005043E7"/>
    <w:rsid w:val="00504D1A"/>
    <w:rsid w:val="00507040"/>
    <w:rsid w:val="00511A56"/>
    <w:rsid w:val="005165DB"/>
    <w:rsid w:val="005217D1"/>
    <w:rsid w:val="00522C14"/>
    <w:rsid w:val="00527004"/>
    <w:rsid w:val="0052771D"/>
    <w:rsid w:val="00530D1E"/>
    <w:rsid w:val="00536AF9"/>
    <w:rsid w:val="0054013C"/>
    <w:rsid w:val="005408CB"/>
    <w:rsid w:val="00542157"/>
    <w:rsid w:val="0054773A"/>
    <w:rsid w:val="005506CB"/>
    <w:rsid w:val="00557E85"/>
    <w:rsid w:val="00564632"/>
    <w:rsid w:val="00572BE7"/>
    <w:rsid w:val="00573170"/>
    <w:rsid w:val="0057437A"/>
    <w:rsid w:val="00584134"/>
    <w:rsid w:val="0058458C"/>
    <w:rsid w:val="00592164"/>
    <w:rsid w:val="00593D94"/>
    <w:rsid w:val="005A09D5"/>
    <w:rsid w:val="005B046E"/>
    <w:rsid w:val="005B441E"/>
    <w:rsid w:val="005B54C6"/>
    <w:rsid w:val="005B5824"/>
    <w:rsid w:val="005B5DB4"/>
    <w:rsid w:val="005C5A5D"/>
    <w:rsid w:val="005C5F6F"/>
    <w:rsid w:val="005C68DC"/>
    <w:rsid w:val="005C7B43"/>
    <w:rsid w:val="005D1F68"/>
    <w:rsid w:val="005D2924"/>
    <w:rsid w:val="005D3D3C"/>
    <w:rsid w:val="005D7CBC"/>
    <w:rsid w:val="005E16E8"/>
    <w:rsid w:val="005E4768"/>
    <w:rsid w:val="005E4A7B"/>
    <w:rsid w:val="005E53C0"/>
    <w:rsid w:val="005E56DB"/>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15E6"/>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7BFF"/>
    <w:rsid w:val="007310B6"/>
    <w:rsid w:val="00735775"/>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F0854"/>
    <w:rsid w:val="007F2407"/>
    <w:rsid w:val="007F3ECD"/>
    <w:rsid w:val="007F5867"/>
    <w:rsid w:val="00801550"/>
    <w:rsid w:val="00801CCC"/>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7B2F"/>
    <w:rsid w:val="008509C8"/>
    <w:rsid w:val="0085146F"/>
    <w:rsid w:val="00851DD0"/>
    <w:rsid w:val="008545BD"/>
    <w:rsid w:val="00857A7B"/>
    <w:rsid w:val="008708E5"/>
    <w:rsid w:val="008715C1"/>
    <w:rsid w:val="00871DBC"/>
    <w:rsid w:val="0087646F"/>
    <w:rsid w:val="00880103"/>
    <w:rsid w:val="00881F0A"/>
    <w:rsid w:val="00884CD2"/>
    <w:rsid w:val="008877E9"/>
    <w:rsid w:val="008903D3"/>
    <w:rsid w:val="0089157D"/>
    <w:rsid w:val="00892C0A"/>
    <w:rsid w:val="00894336"/>
    <w:rsid w:val="008A13DB"/>
    <w:rsid w:val="008A1EF9"/>
    <w:rsid w:val="008A4677"/>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155D"/>
    <w:rsid w:val="009B2533"/>
    <w:rsid w:val="009C0D48"/>
    <w:rsid w:val="009C2D1A"/>
    <w:rsid w:val="009C53CA"/>
    <w:rsid w:val="009C6DC6"/>
    <w:rsid w:val="009D2055"/>
    <w:rsid w:val="009D7128"/>
    <w:rsid w:val="009F03B6"/>
    <w:rsid w:val="009F059E"/>
    <w:rsid w:val="009F2558"/>
    <w:rsid w:val="00A00B92"/>
    <w:rsid w:val="00A06E91"/>
    <w:rsid w:val="00A207F6"/>
    <w:rsid w:val="00A22C9F"/>
    <w:rsid w:val="00A230EF"/>
    <w:rsid w:val="00A23ADA"/>
    <w:rsid w:val="00A246C1"/>
    <w:rsid w:val="00A24F9C"/>
    <w:rsid w:val="00A269E2"/>
    <w:rsid w:val="00A32119"/>
    <w:rsid w:val="00A35951"/>
    <w:rsid w:val="00A363B4"/>
    <w:rsid w:val="00A366FE"/>
    <w:rsid w:val="00A40183"/>
    <w:rsid w:val="00A432A9"/>
    <w:rsid w:val="00A52D27"/>
    <w:rsid w:val="00A549E9"/>
    <w:rsid w:val="00A55448"/>
    <w:rsid w:val="00A564B0"/>
    <w:rsid w:val="00A60D32"/>
    <w:rsid w:val="00A665DB"/>
    <w:rsid w:val="00A73BFC"/>
    <w:rsid w:val="00A742C1"/>
    <w:rsid w:val="00A776D5"/>
    <w:rsid w:val="00A77F0C"/>
    <w:rsid w:val="00A80409"/>
    <w:rsid w:val="00A8665B"/>
    <w:rsid w:val="00A86901"/>
    <w:rsid w:val="00A86B5C"/>
    <w:rsid w:val="00A9253B"/>
    <w:rsid w:val="00A95817"/>
    <w:rsid w:val="00AA03C8"/>
    <w:rsid w:val="00AA1F50"/>
    <w:rsid w:val="00AA21E8"/>
    <w:rsid w:val="00AA24DA"/>
    <w:rsid w:val="00AA39E3"/>
    <w:rsid w:val="00AA4CA8"/>
    <w:rsid w:val="00AB1368"/>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726D2"/>
    <w:rsid w:val="00B7522D"/>
    <w:rsid w:val="00B80319"/>
    <w:rsid w:val="00B807BA"/>
    <w:rsid w:val="00B9456E"/>
    <w:rsid w:val="00B967D8"/>
    <w:rsid w:val="00BA7091"/>
    <w:rsid w:val="00BB0768"/>
    <w:rsid w:val="00BB09C9"/>
    <w:rsid w:val="00BB1CAE"/>
    <w:rsid w:val="00BB5724"/>
    <w:rsid w:val="00BC4F24"/>
    <w:rsid w:val="00BC5157"/>
    <w:rsid w:val="00BC6088"/>
    <w:rsid w:val="00BD3226"/>
    <w:rsid w:val="00BD436D"/>
    <w:rsid w:val="00BD454D"/>
    <w:rsid w:val="00BE31E3"/>
    <w:rsid w:val="00BE3FF9"/>
    <w:rsid w:val="00BE45C5"/>
    <w:rsid w:val="00BE4E4B"/>
    <w:rsid w:val="00BE52FF"/>
    <w:rsid w:val="00BE7376"/>
    <w:rsid w:val="00BF057B"/>
    <w:rsid w:val="00C00536"/>
    <w:rsid w:val="00C07C8E"/>
    <w:rsid w:val="00C10CD2"/>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3EF0"/>
    <w:rsid w:val="00C643D8"/>
    <w:rsid w:val="00C6689F"/>
    <w:rsid w:val="00C7581A"/>
    <w:rsid w:val="00C80E6B"/>
    <w:rsid w:val="00C852CF"/>
    <w:rsid w:val="00C854A7"/>
    <w:rsid w:val="00C863C3"/>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49B"/>
    <w:rsid w:val="00CD0D9F"/>
    <w:rsid w:val="00CE57B5"/>
    <w:rsid w:val="00CE652A"/>
    <w:rsid w:val="00CE6896"/>
    <w:rsid w:val="00CE7947"/>
    <w:rsid w:val="00CF22E1"/>
    <w:rsid w:val="00CF3A84"/>
    <w:rsid w:val="00CF434E"/>
    <w:rsid w:val="00CF4CE0"/>
    <w:rsid w:val="00D0496A"/>
    <w:rsid w:val="00D055A6"/>
    <w:rsid w:val="00D0668F"/>
    <w:rsid w:val="00D07337"/>
    <w:rsid w:val="00D10765"/>
    <w:rsid w:val="00D12ACD"/>
    <w:rsid w:val="00D130D0"/>
    <w:rsid w:val="00D21954"/>
    <w:rsid w:val="00D22F13"/>
    <w:rsid w:val="00D2330B"/>
    <w:rsid w:val="00D2597D"/>
    <w:rsid w:val="00D25D1C"/>
    <w:rsid w:val="00D27099"/>
    <w:rsid w:val="00D32FC3"/>
    <w:rsid w:val="00D330C3"/>
    <w:rsid w:val="00D34119"/>
    <w:rsid w:val="00D36CB3"/>
    <w:rsid w:val="00D411D1"/>
    <w:rsid w:val="00D42710"/>
    <w:rsid w:val="00D500A0"/>
    <w:rsid w:val="00D50361"/>
    <w:rsid w:val="00D5362A"/>
    <w:rsid w:val="00D5544D"/>
    <w:rsid w:val="00D55C07"/>
    <w:rsid w:val="00D60500"/>
    <w:rsid w:val="00D62D87"/>
    <w:rsid w:val="00D64592"/>
    <w:rsid w:val="00D70434"/>
    <w:rsid w:val="00D736D0"/>
    <w:rsid w:val="00D7566F"/>
    <w:rsid w:val="00D77190"/>
    <w:rsid w:val="00D9134B"/>
    <w:rsid w:val="00D91DE4"/>
    <w:rsid w:val="00D97387"/>
    <w:rsid w:val="00DA1D29"/>
    <w:rsid w:val="00DA1F63"/>
    <w:rsid w:val="00DA25BA"/>
    <w:rsid w:val="00DA3C22"/>
    <w:rsid w:val="00DB1B2D"/>
    <w:rsid w:val="00DB47D3"/>
    <w:rsid w:val="00DC6B57"/>
    <w:rsid w:val="00DD17F0"/>
    <w:rsid w:val="00DD5212"/>
    <w:rsid w:val="00DD680C"/>
    <w:rsid w:val="00DD6B45"/>
    <w:rsid w:val="00DE1062"/>
    <w:rsid w:val="00DE2E9B"/>
    <w:rsid w:val="00DE4E29"/>
    <w:rsid w:val="00DE603D"/>
    <w:rsid w:val="00DE620D"/>
    <w:rsid w:val="00DE6ECF"/>
    <w:rsid w:val="00DE7A86"/>
    <w:rsid w:val="00DF45FE"/>
    <w:rsid w:val="00DF5074"/>
    <w:rsid w:val="00DF682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A4"/>
    <w:rsid w:val="00E9196F"/>
    <w:rsid w:val="00E9206C"/>
    <w:rsid w:val="00E94B45"/>
    <w:rsid w:val="00E966C6"/>
    <w:rsid w:val="00EA45E1"/>
    <w:rsid w:val="00EA6A3B"/>
    <w:rsid w:val="00EB09B7"/>
    <w:rsid w:val="00EB1342"/>
    <w:rsid w:val="00EB58D2"/>
    <w:rsid w:val="00EC0100"/>
    <w:rsid w:val="00EC4F78"/>
    <w:rsid w:val="00ED285C"/>
    <w:rsid w:val="00ED7B7D"/>
    <w:rsid w:val="00EE499D"/>
    <w:rsid w:val="00EF0BA4"/>
    <w:rsid w:val="00EF3B7A"/>
    <w:rsid w:val="00EF5D9B"/>
    <w:rsid w:val="00F03E06"/>
    <w:rsid w:val="00F106FC"/>
    <w:rsid w:val="00F1357D"/>
    <w:rsid w:val="00F16626"/>
    <w:rsid w:val="00F17604"/>
    <w:rsid w:val="00F2456C"/>
    <w:rsid w:val="00F32996"/>
    <w:rsid w:val="00F330D9"/>
    <w:rsid w:val="00F35018"/>
    <w:rsid w:val="00F421E4"/>
    <w:rsid w:val="00F453EE"/>
    <w:rsid w:val="00F50274"/>
    <w:rsid w:val="00F578DA"/>
    <w:rsid w:val="00F60646"/>
    <w:rsid w:val="00F6169E"/>
    <w:rsid w:val="00F6694A"/>
    <w:rsid w:val="00F73C72"/>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0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262</Words>
  <Characters>1496</Characters>
  <Application>Microsoft Office Word</Application>
  <DocSecurity>0</DocSecurity>
  <Lines>12</Lines>
  <Paragraphs>3</Paragraphs>
  <ScaleCrop>false</ScaleCrop>
  <Company>Microsoft</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389</cp:revision>
  <dcterms:created xsi:type="dcterms:W3CDTF">2016-12-22T09:25:00Z</dcterms:created>
  <dcterms:modified xsi:type="dcterms:W3CDTF">2018-01-26T01:21:00Z</dcterms:modified>
</cp:coreProperties>
</file>