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354FF6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354FF6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5131B8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限气影响，甲醇近强远弱</w:t>
                  </w:r>
                </w:p>
              </w:txbxContent>
            </v:textbox>
          </v:shape>
        </w:pict>
      </w:r>
      <w:r w:rsidRPr="00354FF6">
        <w:rPr>
          <w:rFonts w:ascii="宋体" w:hAnsi="宋体" w:cs="Arial"/>
          <w:szCs w:val="21"/>
        </w:rPr>
      </w:r>
      <w:r w:rsidRPr="00354FF6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05CD1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</w:t>
                  </w:r>
                  <w:r w:rsidR="006063F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2E53E0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</w:t>
                  </w:r>
                  <w:r w:rsidR="00761C6D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36102C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hint="eastAsia"/>
          <w:szCs w:val="21"/>
        </w:rPr>
        <w:t>甲醇本周</w:t>
      </w:r>
      <w:r w:rsidR="00243EEC">
        <w:rPr>
          <w:rFonts w:hint="eastAsia"/>
          <w:szCs w:val="21"/>
        </w:rPr>
        <w:t>持续走强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39624A">
        <w:rPr>
          <w:rFonts w:hint="eastAsia"/>
          <w:szCs w:val="21"/>
        </w:rPr>
        <w:t>870</w:t>
      </w:r>
      <w:r w:rsidR="00FA3E4C" w:rsidRPr="00E26E25">
        <w:rPr>
          <w:rFonts w:hint="eastAsia"/>
          <w:szCs w:val="21"/>
        </w:rPr>
        <w:t>，周最高</w:t>
      </w:r>
      <w:r w:rsidR="0039624A">
        <w:rPr>
          <w:rFonts w:hint="eastAsia"/>
          <w:szCs w:val="21"/>
        </w:rPr>
        <w:t>2978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39624A">
        <w:rPr>
          <w:rFonts w:hint="eastAsia"/>
          <w:szCs w:val="21"/>
        </w:rPr>
        <w:t>844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39624A">
        <w:rPr>
          <w:rFonts w:hint="eastAsia"/>
          <w:szCs w:val="21"/>
        </w:rPr>
        <w:t>898</w:t>
      </w:r>
      <w:r w:rsidR="002516D0" w:rsidRPr="00E26E25">
        <w:rPr>
          <w:rFonts w:hint="eastAsia"/>
          <w:szCs w:val="21"/>
        </w:rPr>
        <w:t>，较上周</w:t>
      </w:r>
      <w:r w:rsidR="00C76F77">
        <w:rPr>
          <w:rFonts w:hint="eastAsia"/>
          <w:szCs w:val="21"/>
        </w:rPr>
        <w:t>涨</w:t>
      </w:r>
      <w:r w:rsidR="0039624A">
        <w:rPr>
          <w:rFonts w:hint="eastAsia"/>
          <w:szCs w:val="21"/>
        </w:rPr>
        <w:t>36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39624A">
        <w:rPr>
          <w:rFonts w:hint="eastAsia"/>
          <w:szCs w:val="21"/>
        </w:rPr>
        <w:t>708.6</w:t>
      </w:r>
      <w:r w:rsidR="00804C21" w:rsidRPr="00E26E25">
        <w:rPr>
          <w:rFonts w:hint="eastAsia"/>
          <w:szCs w:val="21"/>
        </w:rPr>
        <w:t>万手，</w:t>
      </w:r>
      <w:r w:rsidR="00243EEC">
        <w:rPr>
          <w:rFonts w:hint="eastAsia"/>
          <w:szCs w:val="21"/>
        </w:rPr>
        <w:t>增</w:t>
      </w:r>
      <w:r w:rsidR="0039624A">
        <w:rPr>
          <w:rFonts w:hint="eastAsia"/>
          <w:szCs w:val="21"/>
        </w:rPr>
        <w:t>347.4</w:t>
      </w:r>
      <w:r w:rsidR="00FA3E4C" w:rsidRPr="00E26E25">
        <w:rPr>
          <w:rFonts w:hint="eastAsia"/>
          <w:szCs w:val="21"/>
        </w:rPr>
        <w:t>万手，持仓</w:t>
      </w:r>
      <w:r w:rsidR="0039624A">
        <w:rPr>
          <w:rFonts w:hint="eastAsia"/>
          <w:szCs w:val="21"/>
        </w:rPr>
        <w:t>64.2</w:t>
      </w:r>
      <w:r w:rsidR="00FA3E4C" w:rsidRPr="00E26E25">
        <w:rPr>
          <w:rFonts w:hint="eastAsia"/>
          <w:szCs w:val="21"/>
        </w:rPr>
        <w:t>万手，</w:t>
      </w:r>
      <w:r w:rsidR="00C76F77">
        <w:rPr>
          <w:rFonts w:hint="eastAsia"/>
          <w:szCs w:val="21"/>
        </w:rPr>
        <w:t>增</w:t>
      </w:r>
      <w:r w:rsidR="0039624A">
        <w:rPr>
          <w:rFonts w:hint="eastAsia"/>
          <w:szCs w:val="21"/>
        </w:rPr>
        <w:t>23.7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761C6D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761C6D" w:rsidRDefault="00761C6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761C6D" w:rsidRDefault="003373D7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2870</w:t>
            </w:r>
          </w:p>
        </w:tc>
        <w:tc>
          <w:tcPr>
            <w:tcW w:w="3438" w:type="dxa"/>
          </w:tcPr>
          <w:p w:rsidR="00761C6D" w:rsidRDefault="00761C6D" w:rsidP="00D775E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2769</w:t>
            </w:r>
          </w:p>
        </w:tc>
      </w:tr>
      <w:tr w:rsidR="00761C6D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761C6D" w:rsidRDefault="00761C6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761C6D" w:rsidRDefault="003373D7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2978</w:t>
            </w:r>
          </w:p>
        </w:tc>
        <w:tc>
          <w:tcPr>
            <w:tcW w:w="3438" w:type="dxa"/>
          </w:tcPr>
          <w:p w:rsidR="00761C6D" w:rsidRDefault="00761C6D" w:rsidP="00D775E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2927</w:t>
            </w:r>
          </w:p>
        </w:tc>
      </w:tr>
      <w:tr w:rsidR="00761C6D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761C6D" w:rsidRDefault="00761C6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761C6D" w:rsidRDefault="003373D7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2844</w:t>
            </w:r>
          </w:p>
        </w:tc>
        <w:tc>
          <w:tcPr>
            <w:tcW w:w="3438" w:type="dxa"/>
          </w:tcPr>
          <w:p w:rsidR="00761C6D" w:rsidRDefault="00761C6D" w:rsidP="00D775E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2719</w:t>
            </w:r>
          </w:p>
        </w:tc>
      </w:tr>
      <w:tr w:rsidR="00761C6D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761C6D" w:rsidRDefault="00761C6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761C6D" w:rsidRDefault="003373D7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2898</w:t>
            </w:r>
          </w:p>
        </w:tc>
        <w:tc>
          <w:tcPr>
            <w:tcW w:w="3438" w:type="dxa"/>
          </w:tcPr>
          <w:p w:rsidR="00761C6D" w:rsidRDefault="00761C6D" w:rsidP="00D775E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2862</w:t>
            </w:r>
          </w:p>
        </w:tc>
      </w:tr>
      <w:tr w:rsidR="00761C6D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761C6D" w:rsidRDefault="00761C6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3373D7" w:rsidRDefault="003373D7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708.6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761C6D" w:rsidRDefault="00761C6D" w:rsidP="00D775E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361.2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761C6D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761C6D" w:rsidRDefault="00761C6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761C6D" w:rsidRDefault="003373D7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64.2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761C6D" w:rsidRDefault="00761C6D" w:rsidP="00D775E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40.5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3373D7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75945" cy="3286664"/>
            <wp:effectExtent l="19050" t="0" r="1055" b="0"/>
            <wp:docPr id="1" name="图片 2" descr="C:\Users\Administrator\AppData\Roaming\Tencent\Users\276171027\QQ\WinTemp\RichOle\D(9V7FRJ]EN[2K{LFK5XD$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D(9V7FRJ]EN[2K{LFK5XD$Q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418" cy="329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4B0637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天然气</w:t>
      </w:r>
      <w:r w:rsidR="00964CCA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4B0637" w:rsidRDefault="001A15B9" w:rsidP="004B0637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限气因素影响，导致多套装置停车</w:t>
      </w:r>
      <w:r w:rsidR="004B0637" w:rsidRPr="004B0637">
        <w:rPr>
          <w:szCs w:val="21"/>
        </w:rPr>
        <w:t>。</w:t>
      </w:r>
    </w:p>
    <w:p w:rsidR="001A15B9" w:rsidRPr="001A15B9" w:rsidRDefault="001A15B9" w:rsidP="001A15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78233" cy="3726611"/>
            <wp:effectExtent l="19050" t="0" r="8267" b="0"/>
            <wp:docPr id="4" name="图片 4" descr="C:\Users\Administrator\AppData\Roaming\Tencent\Users\276171027\QQ\WinTemp\RichOle\(%%9}ST9KMM$9CB[`_O1@)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(%%9}ST9KMM$9CB[`_O1@)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11" cy="372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39624A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39624A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437055" cy="2763893"/>
            <wp:effectExtent l="19050" t="0" r="1845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2102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4B0637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随着冬季到来，北方天然气紧缺，导致北方供暖紧缺，动力煤价格也一再高涨，煤炭价格对甲醇形成一定支撑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39624A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39624A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373124" cy="2957537"/>
            <wp:effectExtent l="19050" t="0" r="8626" b="0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102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713078" w:rsidRDefault="00E24477" w:rsidP="00E2447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</w:t>
      </w:r>
      <w:r w:rsidR="00665B31">
        <w:rPr>
          <w:szCs w:val="21"/>
        </w:rPr>
        <w:t>甲醇</w:t>
      </w:r>
      <w:r w:rsidR="0039624A">
        <w:rPr>
          <w:rFonts w:hint="eastAsia"/>
          <w:szCs w:val="21"/>
        </w:rPr>
        <w:t>现货</w:t>
      </w:r>
      <w:r w:rsidR="0039624A">
        <w:rPr>
          <w:szCs w:val="21"/>
        </w:rPr>
        <w:t>市场</w:t>
      </w:r>
      <w:r w:rsidR="0039624A">
        <w:rPr>
          <w:rFonts w:hint="eastAsia"/>
          <w:szCs w:val="21"/>
        </w:rPr>
        <w:t>继续</w:t>
      </w:r>
      <w:r w:rsidR="00665B31">
        <w:rPr>
          <w:szCs w:val="21"/>
        </w:rPr>
        <w:t>拉涨。</w:t>
      </w:r>
      <w:r w:rsidR="0039624A">
        <w:rPr>
          <w:rFonts w:hint="eastAsia"/>
          <w:szCs w:val="21"/>
        </w:rPr>
        <w:t>西南甲醇装置受限气影响供应减少，港口库存偏低，加上期货大幅上涨，甲醇继续大幅拉升</w:t>
      </w:r>
      <w:r>
        <w:rPr>
          <w:rFonts w:hint="eastAsia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39624A" w:rsidTr="00443C09">
        <w:trPr>
          <w:cnfStyle w:val="000000100000"/>
        </w:trPr>
        <w:tc>
          <w:tcPr>
            <w:cnfStyle w:val="001000000000"/>
            <w:tcW w:w="3474" w:type="dxa"/>
          </w:tcPr>
          <w:p w:rsidR="0039624A" w:rsidRDefault="0039624A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39624A" w:rsidRDefault="0039624A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3685</w:t>
            </w:r>
          </w:p>
        </w:tc>
        <w:tc>
          <w:tcPr>
            <w:tcW w:w="3474" w:type="dxa"/>
          </w:tcPr>
          <w:p w:rsidR="0039624A" w:rsidRDefault="0039624A" w:rsidP="00057B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3550</w:t>
            </w:r>
          </w:p>
        </w:tc>
      </w:tr>
      <w:tr w:rsidR="0039624A" w:rsidTr="00443C09">
        <w:trPr>
          <w:cnfStyle w:val="000000010000"/>
        </w:trPr>
        <w:tc>
          <w:tcPr>
            <w:cnfStyle w:val="001000000000"/>
            <w:tcW w:w="3474" w:type="dxa"/>
          </w:tcPr>
          <w:p w:rsidR="0039624A" w:rsidRDefault="0039624A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39624A" w:rsidRDefault="0039624A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3725</w:t>
            </w:r>
          </w:p>
        </w:tc>
        <w:tc>
          <w:tcPr>
            <w:tcW w:w="3474" w:type="dxa"/>
          </w:tcPr>
          <w:p w:rsidR="0039624A" w:rsidRDefault="0039624A" w:rsidP="00057B9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3440</w:t>
            </w:r>
          </w:p>
        </w:tc>
      </w:tr>
      <w:tr w:rsidR="0039624A" w:rsidTr="00443C09">
        <w:trPr>
          <w:cnfStyle w:val="000000100000"/>
        </w:trPr>
        <w:tc>
          <w:tcPr>
            <w:cnfStyle w:val="001000000000"/>
            <w:tcW w:w="3474" w:type="dxa"/>
          </w:tcPr>
          <w:p w:rsidR="0039624A" w:rsidRDefault="0039624A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39624A" w:rsidRDefault="0039624A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3930</w:t>
            </w:r>
          </w:p>
        </w:tc>
        <w:tc>
          <w:tcPr>
            <w:tcW w:w="3474" w:type="dxa"/>
          </w:tcPr>
          <w:p w:rsidR="0039624A" w:rsidRDefault="0039624A" w:rsidP="00057B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3600</w:t>
            </w:r>
          </w:p>
        </w:tc>
      </w:tr>
      <w:tr w:rsidR="0039624A" w:rsidTr="00443C09">
        <w:trPr>
          <w:cnfStyle w:val="000000010000"/>
        </w:trPr>
        <w:tc>
          <w:tcPr>
            <w:cnfStyle w:val="001000000000"/>
            <w:tcW w:w="3474" w:type="dxa"/>
          </w:tcPr>
          <w:p w:rsidR="0039624A" w:rsidRDefault="0039624A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39624A" w:rsidRDefault="0039624A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3300</w:t>
            </w:r>
          </w:p>
        </w:tc>
        <w:tc>
          <w:tcPr>
            <w:tcW w:w="3474" w:type="dxa"/>
          </w:tcPr>
          <w:p w:rsidR="0039624A" w:rsidRDefault="0039624A" w:rsidP="00057B9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3215</w:t>
            </w:r>
          </w:p>
        </w:tc>
      </w:tr>
      <w:tr w:rsidR="0039624A" w:rsidTr="00443C09">
        <w:trPr>
          <w:cnfStyle w:val="000000100000"/>
        </w:trPr>
        <w:tc>
          <w:tcPr>
            <w:cnfStyle w:val="001000000000"/>
            <w:tcW w:w="3474" w:type="dxa"/>
          </w:tcPr>
          <w:p w:rsidR="0039624A" w:rsidRDefault="0039624A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39624A" w:rsidRDefault="0039624A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2860</w:t>
            </w:r>
          </w:p>
        </w:tc>
        <w:tc>
          <w:tcPr>
            <w:tcW w:w="3474" w:type="dxa"/>
          </w:tcPr>
          <w:p w:rsidR="0039624A" w:rsidRDefault="0039624A" w:rsidP="00057B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2850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665B31">
        <w:rPr>
          <w:rFonts w:ascii="宋体" w:hAnsi="宋体" w:cs="Arial" w:hint="eastAsia"/>
          <w:kern w:val="0"/>
          <w:szCs w:val="21"/>
        </w:rPr>
        <w:t>本周</w:t>
      </w:r>
      <w:r w:rsidR="00E24477">
        <w:rPr>
          <w:rFonts w:ascii="宋体" w:hAnsi="宋体" w:cs="Arial" w:hint="eastAsia"/>
          <w:kern w:val="0"/>
          <w:szCs w:val="21"/>
        </w:rPr>
        <w:t>沿海甲醇价格涨幅更大，港口内蒙价差已经拉大到套利空间上，未来可能有内蒙货源发往港口</w:t>
      </w:r>
      <w:r w:rsidR="00C407A9">
        <w:rPr>
          <w:rFonts w:ascii="宋体" w:hAnsi="宋体" w:cs="Arial" w:hint="eastAsia"/>
          <w:kern w:val="0"/>
          <w:szCs w:val="21"/>
        </w:rPr>
        <w:t>。</w:t>
      </w:r>
      <w:r w:rsidR="00B71AE4">
        <w:rPr>
          <w:rFonts w:ascii="宋体" w:hAnsi="宋体" w:cs="Arial" w:hint="eastAsia"/>
          <w:kern w:val="0"/>
          <w:szCs w:val="21"/>
        </w:rPr>
        <w:t>受港口现货货源减少，库存偏低影响，现货价格更是飙升，大幅升水于近月合约以及主力合约，基差已经到历史高位。</w:t>
      </w:r>
    </w:p>
    <w:p w:rsidR="0029112E" w:rsidRDefault="0039624A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39624A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373495" cy="3008271"/>
            <wp:effectExtent l="19050" t="0" r="8255" b="0"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6947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F94798" w:rsidTr="00682AB2">
        <w:trPr>
          <w:cnfStyle w:val="000000100000"/>
        </w:trPr>
        <w:tc>
          <w:tcPr>
            <w:cnfStyle w:val="001000000000"/>
            <w:tcW w:w="3474" w:type="dxa"/>
          </w:tcPr>
          <w:p w:rsidR="00F94798" w:rsidRDefault="00F9479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F94798" w:rsidRDefault="00F94798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18.1</w:t>
            </w:r>
          </w:p>
        </w:tc>
        <w:tc>
          <w:tcPr>
            <w:tcW w:w="3474" w:type="dxa"/>
          </w:tcPr>
          <w:p w:rsidR="00F94798" w:rsidRDefault="00F94798" w:rsidP="00057B9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20.5</w:t>
            </w:r>
          </w:p>
        </w:tc>
      </w:tr>
      <w:tr w:rsidR="00F94798" w:rsidTr="00682AB2">
        <w:trPr>
          <w:cnfStyle w:val="000000010000"/>
        </w:trPr>
        <w:tc>
          <w:tcPr>
            <w:cnfStyle w:val="001000000000"/>
            <w:tcW w:w="3474" w:type="dxa"/>
          </w:tcPr>
          <w:p w:rsidR="00F94798" w:rsidRDefault="00F9479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F94798" w:rsidRDefault="00F94798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3.6</w:t>
            </w:r>
          </w:p>
        </w:tc>
        <w:tc>
          <w:tcPr>
            <w:tcW w:w="3474" w:type="dxa"/>
          </w:tcPr>
          <w:p w:rsidR="00F94798" w:rsidRDefault="00F94798" w:rsidP="00057B9E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4.2</w:t>
            </w:r>
          </w:p>
        </w:tc>
      </w:tr>
      <w:tr w:rsidR="00F94798" w:rsidTr="00682AB2">
        <w:trPr>
          <w:cnfStyle w:val="000000100000"/>
        </w:trPr>
        <w:tc>
          <w:tcPr>
            <w:cnfStyle w:val="001000000000"/>
            <w:tcW w:w="3474" w:type="dxa"/>
          </w:tcPr>
          <w:p w:rsidR="00F94798" w:rsidRDefault="00F9479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F94798" w:rsidRDefault="00F94798" w:rsidP="00844117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</w:t>
            </w:r>
          </w:p>
        </w:tc>
        <w:tc>
          <w:tcPr>
            <w:tcW w:w="3474" w:type="dxa"/>
          </w:tcPr>
          <w:p w:rsidR="00F94798" w:rsidRDefault="00F94798" w:rsidP="00057B9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12</w:t>
            </w:r>
          </w:p>
        </w:tc>
      </w:tr>
      <w:tr w:rsidR="00F94798" w:rsidTr="00682AB2">
        <w:trPr>
          <w:cnfStyle w:val="000000010000"/>
        </w:trPr>
        <w:tc>
          <w:tcPr>
            <w:cnfStyle w:val="001000000000"/>
            <w:tcW w:w="3474" w:type="dxa"/>
          </w:tcPr>
          <w:p w:rsidR="00F94798" w:rsidRDefault="00F9479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F94798" w:rsidRDefault="00F94798" w:rsidP="007A60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37.7</w:t>
            </w:r>
          </w:p>
        </w:tc>
        <w:tc>
          <w:tcPr>
            <w:tcW w:w="3474" w:type="dxa"/>
          </w:tcPr>
          <w:p w:rsidR="00F94798" w:rsidRDefault="00F94798" w:rsidP="00057B9E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36.7</w:t>
            </w:r>
          </w:p>
        </w:tc>
      </w:tr>
    </w:tbl>
    <w:p w:rsidR="00443C09" w:rsidRDefault="00F94798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94798">
        <w:rPr>
          <w:rFonts w:ascii="宋体" w:hAnsi="宋体" w:cs="Arial"/>
          <w:kern w:val="0"/>
          <w:szCs w:val="21"/>
        </w:rPr>
        <w:drawing>
          <wp:inline distT="0" distB="0" distL="0" distR="0">
            <wp:extent cx="6373495" cy="2766796"/>
            <wp:effectExtent l="19050" t="0" r="8255" b="0"/>
            <wp:docPr id="7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18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713078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lastRenderedPageBreak/>
        <w:t>本周</w:t>
      </w:r>
      <w:r w:rsidR="00665B31">
        <w:rPr>
          <w:szCs w:val="21"/>
        </w:rPr>
        <w:t>，江苏甲醇库存在</w:t>
      </w:r>
      <w:r w:rsidR="00F94798">
        <w:rPr>
          <w:rFonts w:ascii="Calibri" w:hAnsi="Calibri" w:cs="Calibri" w:hint="eastAsia"/>
          <w:szCs w:val="21"/>
        </w:rPr>
        <w:t>18.1</w:t>
      </w:r>
      <w:r w:rsidR="00665B31">
        <w:rPr>
          <w:szCs w:val="21"/>
        </w:rPr>
        <w:t>万吨（不加连云港地区库存），较上周</w:t>
      </w:r>
      <w:r w:rsidR="00E25931">
        <w:rPr>
          <w:rFonts w:hint="eastAsia"/>
          <w:szCs w:val="21"/>
        </w:rPr>
        <w:t>减少</w:t>
      </w:r>
      <w:r w:rsidR="00F94798">
        <w:rPr>
          <w:rFonts w:hint="eastAsia"/>
          <w:szCs w:val="21"/>
        </w:rPr>
        <w:t>2.4</w:t>
      </w:r>
      <w:r w:rsidR="00665B31">
        <w:rPr>
          <w:szCs w:val="21"/>
        </w:rPr>
        <w:t>万吨，</w:t>
      </w:r>
      <w:r w:rsidR="00E25931">
        <w:rPr>
          <w:rFonts w:hint="eastAsia"/>
          <w:szCs w:val="21"/>
        </w:rPr>
        <w:t>降</w:t>
      </w:r>
      <w:r w:rsidR="00665B31">
        <w:rPr>
          <w:szCs w:val="21"/>
        </w:rPr>
        <w:t>幅在</w:t>
      </w:r>
      <w:r w:rsidR="00E25931">
        <w:rPr>
          <w:rFonts w:ascii="Calibri" w:hAnsi="Calibri" w:cs="Calibri" w:hint="eastAsia"/>
          <w:szCs w:val="21"/>
        </w:rPr>
        <w:t>1</w:t>
      </w:r>
      <w:r w:rsidR="00F94798">
        <w:rPr>
          <w:rFonts w:ascii="Calibri" w:hAnsi="Calibri" w:cs="Calibri" w:hint="eastAsia"/>
          <w:szCs w:val="21"/>
        </w:rPr>
        <w:t>1.7</w:t>
      </w:r>
      <w:r w:rsidR="00665B31">
        <w:rPr>
          <w:rFonts w:ascii="Calibri" w:hAnsi="Calibri" w:cs="Calibri"/>
          <w:szCs w:val="21"/>
        </w:rPr>
        <w:t>%</w:t>
      </w:r>
      <w:r w:rsidR="00665B31">
        <w:rPr>
          <w:szCs w:val="21"/>
        </w:rPr>
        <w:t>。</w:t>
      </w:r>
      <w:r w:rsidR="00E25931">
        <w:rPr>
          <w:rFonts w:hint="eastAsia"/>
          <w:szCs w:val="21"/>
        </w:rPr>
        <w:t>华南库存</w:t>
      </w:r>
      <w:r w:rsidR="00F94798">
        <w:rPr>
          <w:rFonts w:hint="eastAsia"/>
          <w:szCs w:val="21"/>
        </w:rPr>
        <w:t>3.6</w:t>
      </w:r>
      <w:r w:rsidR="00E25931">
        <w:rPr>
          <w:rFonts w:hint="eastAsia"/>
          <w:szCs w:val="21"/>
        </w:rPr>
        <w:t>万吨，降</w:t>
      </w:r>
      <w:r w:rsidR="00F94798">
        <w:rPr>
          <w:rFonts w:hint="eastAsia"/>
          <w:szCs w:val="21"/>
        </w:rPr>
        <w:t>0.6</w:t>
      </w:r>
      <w:r w:rsidR="00E25931">
        <w:rPr>
          <w:rFonts w:hint="eastAsia"/>
          <w:szCs w:val="21"/>
        </w:rPr>
        <w:t>万吨，降幅</w:t>
      </w:r>
      <w:r w:rsidR="00F94798">
        <w:rPr>
          <w:rFonts w:hint="eastAsia"/>
          <w:szCs w:val="21"/>
        </w:rPr>
        <w:t>14.3</w:t>
      </w:r>
      <w:r w:rsidR="00E25931">
        <w:rPr>
          <w:rFonts w:hint="eastAsia"/>
          <w:szCs w:val="21"/>
        </w:rPr>
        <w:t>%</w:t>
      </w:r>
      <w:r w:rsidR="00E25931">
        <w:rPr>
          <w:rFonts w:hint="eastAsia"/>
          <w:szCs w:val="21"/>
        </w:rPr>
        <w:t>，总库存</w:t>
      </w:r>
      <w:r w:rsidR="00E25931">
        <w:rPr>
          <w:rFonts w:hint="eastAsia"/>
          <w:szCs w:val="21"/>
        </w:rPr>
        <w:t>3</w:t>
      </w:r>
      <w:r w:rsidR="00F94798">
        <w:rPr>
          <w:rFonts w:hint="eastAsia"/>
          <w:szCs w:val="21"/>
        </w:rPr>
        <w:t>7</w:t>
      </w:r>
      <w:r w:rsidR="00E25931">
        <w:rPr>
          <w:rFonts w:hint="eastAsia"/>
          <w:szCs w:val="21"/>
        </w:rPr>
        <w:t>.7</w:t>
      </w:r>
      <w:r w:rsidR="00F94798">
        <w:rPr>
          <w:rFonts w:hint="eastAsia"/>
          <w:szCs w:val="21"/>
        </w:rPr>
        <w:t>万吨，增</w:t>
      </w:r>
      <w:r w:rsidR="00F94798">
        <w:rPr>
          <w:rFonts w:hint="eastAsia"/>
          <w:szCs w:val="21"/>
        </w:rPr>
        <w:t>1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E25931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25931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224482" cy="2087593"/>
            <wp:effectExtent l="19050" t="0" r="0" b="0"/>
            <wp:docPr id="23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3625" cy="208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798" w:rsidRPr="00F94798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12339" cy="2087591"/>
            <wp:effectExtent l="19050" t="0" r="0" b="0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6343" cy="209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BD7D0F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外盘甲醇同步走高，但涨幅不及港口甲醇</w:t>
      </w:r>
      <w:r w:rsidR="0003728F" w:rsidRPr="0003728F">
        <w:rPr>
          <w:rFonts w:ascii="宋体" w:hAnsi="宋体" w:cs="Arial" w:hint="eastAsia"/>
          <w:kern w:val="0"/>
          <w:szCs w:val="21"/>
        </w:rPr>
        <w:t>。</w:t>
      </w:r>
      <w:r>
        <w:rPr>
          <w:rFonts w:ascii="宋体" w:hAnsi="宋体" w:cs="Arial" w:hint="eastAsia"/>
          <w:kern w:val="0"/>
          <w:szCs w:val="21"/>
        </w:rPr>
        <w:t>导致进口利润大幅攀升，目前进口甲醇正挂幅度已经到近年新高，进口利润的大幅攀升势必在未来导致进口量的大幅攀升。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F94798" w:rsidTr="0029112E">
        <w:trPr>
          <w:cnfStyle w:val="000000100000"/>
        </w:trPr>
        <w:tc>
          <w:tcPr>
            <w:cnfStyle w:val="001000000000"/>
            <w:tcW w:w="3474" w:type="dxa"/>
          </w:tcPr>
          <w:p w:rsidR="00F94798" w:rsidRDefault="00F94798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F94798" w:rsidRDefault="00F94798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411</w:t>
            </w:r>
          </w:p>
        </w:tc>
        <w:tc>
          <w:tcPr>
            <w:tcW w:w="3474" w:type="dxa"/>
          </w:tcPr>
          <w:p w:rsidR="00F94798" w:rsidRDefault="00F94798" w:rsidP="00057B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395</w:t>
            </w:r>
          </w:p>
        </w:tc>
      </w:tr>
      <w:tr w:rsidR="00F94798" w:rsidTr="0029112E">
        <w:trPr>
          <w:cnfStyle w:val="000000010000"/>
        </w:trPr>
        <w:tc>
          <w:tcPr>
            <w:cnfStyle w:val="001000000000"/>
            <w:tcW w:w="3474" w:type="dxa"/>
          </w:tcPr>
          <w:p w:rsidR="00F94798" w:rsidRDefault="00F94798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F94798" w:rsidRDefault="00F94798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420</w:t>
            </w:r>
          </w:p>
        </w:tc>
        <w:tc>
          <w:tcPr>
            <w:tcW w:w="3474" w:type="dxa"/>
          </w:tcPr>
          <w:p w:rsidR="00F94798" w:rsidRDefault="00F94798" w:rsidP="00057B9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406</w:t>
            </w:r>
          </w:p>
        </w:tc>
      </w:tr>
      <w:tr w:rsidR="00F94798" w:rsidTr="0029112E">
        <w:trPr>
          <w:cnfStyle w:val="000000100000"/>
        </w:trPr>
        <w:tc>
          <w:tcPr>
            <w:cnfStyle w:val="001000000000"/>
            <w:tcW w:w="3474" w:type="dxa"/>
          </w:tcPr>
          <w:p w:rsidR="00F94798" w:rsidRDefault="00F94798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F94798" w:rsidRDefault="005131B8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400</w:t>
            </w:r>
          </w:p>
        </w:tc>
        <w:tc>
          <w:tcPr>
            <w:tcW w:w="3474" w:type="dxa"/>
          </w:tcPr>
          <w:p w:rsidR="00F94798" w:rsidRDefault="00F94798" w:rsidP="00057B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376</w:t>
            </w:r>
          </w:p>
        </w:tc>
      </w:tr>
      <w:tr w:rsidR="00F94798" w:rsidTr="0029112E">
        <w:trPr>
          <w:cnfStyle w:val="000000010000"/>
        </w:trPr>
        <w:tc>
          <w:tcPr>
            <w:cnfStyle w:val="001000000000"/>
            <w:tcW w:w="3474" w:type="dxa"/>
          </w:tcPr>
          <w:p w:rsidR="00F94798" w:rsidRDefault="00F94798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F94798" w:rsidRDefault="005131B8" w:rsidP="0003728F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326</w:t>
            </w:r>
          </w:p>
        </w:tc>
        <w:tc>
          <w:tcPr>
            <w:tcW w:w="3474" w:type="dxa"/>
          </w:tcPr>
          <w:p w:rsidR="00F94798" w:rsidRDefault="00F94798" w:rsidP="00057B9E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311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BD7D0F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D7D0F">
        <w:rPr>
          <w:rFonts w:ascii="宋体" w:hAnsi="宋体" w:cs="Arial"/>
          <w:noProof/>
          <w:kern w:val="0"/>
          <w:szCs w:val="21"/>
        </w:rPr>
        <w:lastRenderedPageBreak/>
        <w:drawing>
          <wp:inline distT="0" distB="0" distL="0" distR="0">
            <wp:extent cx="6373495" cy="2889849"/>
            <wp:effectExtent l="19050" t="0" r="8255" b="0"/>
            <wp:docPr id="26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77776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BD7D0F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本周中美甲醇甲醇继续缩小，套利未打开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996597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96597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476641" cy="2766796"/>
            <wp:effectExtent l="19050" t="0" r="359" b="0"/>
            <wp:docPr id="29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4919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BD7D0F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BD7D0F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373495" cy="3086306"/>
            <wp:effectExtent l="19050" t="0" r="8255" b="0"/>
            <wp:docPr id="28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3069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996597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996597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493893" cy="2863970"/>
            <wp:effectExtent l="19050" t="0" r="2157" b="0"/>
            <wp:docPr id="30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96501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0E54C8" w:rsidRDefault="00996597" w:rsidP="000E54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从目前下游的表现来看，</w:t>
      </w:r>
      <w:r>
        <w:rPr>
          <w:rFonts w:hint="eastAsia"/>
          <w:noProof/>
        </w:rPr>
        <w:t>由于西南以及西北的工业用天然气的涨价，当地的天然气制甲醇工厂被迫停工导致供应减少；此外，由于环保限产的原因，山东、华中的部分甲醇工厂处于停车状态。但由于目前甲醇现货的快速拉升，内地甲醇价格也被拉到一个相对高位，甲醇工厂的利润非常丰厚；相对应的，下游</w:t>
      </w:r>
      <w:r>
        <w:rPr>
          <w:rFonts w:hint="eastAsia"/>
          <w:noProof/>
        </w:rPr>
        <w:t>MTO</w:t>
      </w:r>
      <w:r>
        <w:rPr>
          <w:rFonts w:hint="eastAsia"/>
          <w:noProof/>
        </w:rPr>
        <w:t>装置由于原料甲醇价格的大幅上涨，而</w:t>
      </w:r>
      <w:r>
        <w:rPr>
          <w:rFonts w:hint="eastAsia"/>
          <w:noProof/>
        </w:rPr>
        <w:t>PP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PE</w:t>
      </w:r>
      <w:r>
        <w:rPr>
          <w:rFonts w:hint="eastAsia"/>
          <w:noProof/>
        </w:rPr>
        <w:t>的涨幅则相对较小，</w:t>
      </w:r>
      <w:r>
        <w:rPr>
          <w:rFonts w:hint="eastAsia"/>
          <w:noProof/>
        </w:rPr>
        <w:t>MTO</w:t>
      </w:r>
      <w:r>
        <w:rPr>
          <w:rFonts w:hint="eastAsia"/>
          <w:noProof/>
        </w:rPr>
        <w:t>工厂的利润已经被迅速蚕食，目前已经是处于大幅亏损的境地，所以目前甲醇产业链的利润是集中在甲醇一个环节，这是一种非常不平衡的状态。正因此，在这波甲醇</w:t>
      </w:r>
      <w:r>
        <w:rPr>
          <w:rFonts w:hint="eastAsia"/>
          <w:noProof/>
        </w:rPr>
        <w:lastRenderedPageBreak/>
        <w:t>上涨的过程中，也传出了浙江兴兴、常州富德要停车的消息，在未来两个月，如果甲醇现货继续上涨，不排除前期因政策因素停车的甲醇工厂迅速复产、下游</w:t>
      </w:r>
      <w:r>
        <w:rPr>
          <w:rFonts w:hint="eastAsia"/>
          <w:noProof/>
        </w:rPr>
        <w:t>MTO</w:t>
      </w:r>
      <w:r>
        <w:rPr>
          <w:rFonts w:hint="eastAsia"/>
          <w:noProof/>
        </w:rPr>
        <w:t>工厂停车检修的可能</w:t>
      </w:r>
      <w:r w:rsidR="000E54C8">
        <w:rPr>
          <w:rFonts w:ascii="宋体" w:cs="宋体" w:hint="eastAsia"/>
          <w:kern w:val="0"/>
          <w:szCs w:val="21"/>
        </w:rPr>
        <w:t>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996597" w:rsidRDefault="005131B8" w:rsidP="00996597">
      <w:pPr>
        <w:widowControl/>
        <w:spacing w:line="360" w:lineRule="auto"/>
        <w:ind w:firstLineChars="200" w:firstLine="420"/>
        <w:jc w:val="left"/>
        <w:rPr>
          <w:rFonts w:hint="eastAsia"/>
          <w:noProof/>
        </w:rPr>
      </w:pPr>
      <w:r>
        <w:rPr>
          <w:rFonts w:ascii="宋体" w:hAnsi="宋体" w:cs="Arial" w:hint="eastAsia"/>
          <w:kern w:val="0"/>
          <w:szCs w:val="21"/>
        </w:rPr>
        <w:t>本周甲醇现货继续拉涨，天然气限气因素仍旧是主因</w:t>
      </w:r>
      <w:r w:rsidR="00996597">
        <w:rPr>
          <w:rFonts w:hint="eastAsia"/>
          <w:noProof/>
        </w:rPr>
        <w:t>。</w:t>
      </w:r>
      <w:r>
        <w:rPr>
          <w:rFonts w:hint="eastAsia"/>
          <w:noProof/>
        </w:rPr>
        <w:t>但从基本面来看，尽管港口地区库存仍旧偏低，但由于进口利润拉大，内陆港口甲醇价差拉开，套利空间的打开会使得后续甲醇供应逐步增加。目前甲醇供需矛盾在逐步缓解。</w:t>
      </w:r>
    </w:p>
    <w:p w:rsidR="005131B8" w:rsidRDefault="005131B8" w:rsidP="00996597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noProof/>
        </w:rPr>
        <w:t>当前</w:t>
      </w:r>
      <w:r>
        <w:rPr>
          <w:rFonts w:hint="eastAsia"/>
          <w:noProof/>
        </w:rPr>
        <w:t>MA01</w:t>
      </w:r>
      <w:r>
        <w:rPr>
          <w:rFonts w:hint="eastAsia"/>
          <w:noProof/>
        </w:rPr>
        <w:t>合约依旧有软逼仓的风险，超高的基差是表现，但随着甲醇供需矛盾的缓解，后市甲醇有下跌的空间，逢高布空</w:t>
      </w:r>
      <w:r>
        <w:rPr>
          <w:rFonts w:hint="eastAsia"/>
          <w:noProof/>
        </w:rPr>
        <w:t>MA05</w:t>
      </w:r>
      <w:r>
        <w:rPr>
          <w:rFonts w:hint="eastAsia"/>
          <w:noProof/>
        </w:rPr>
        <w:t>合约。</w:t>
      </w:r>
    </w:p>
    <w:p w:rsidR="00C90824" w:rsidRPr="00996597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5E" w:rsidRDefault="000D745E">
      <w:r>
        <w:separator/>
      </w:r>
    </w:p>
  </w:endnote>
  <w:endnote w:type="continuationSeparator" w:id="1">
    <w:p w:rsidR="000D745E" w:rsidRDefault="000D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354FF6">
    <w:pPr>
      <w:pStyle w:val="ab"/>
      <w:jc w:val="center"/>
    </w:pPr>
    <w:fldSimple w:instr=" PAGE   \* MERGEFORMAT ">
      <w:r w:rsidR="005131B8" w:rsidRPr="005131B8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354FF6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5E" w:rsidRDefault="000D745E">
      <w:r>
        <w:separator/>
      </w:r>
    </w:p>
  </w:footnote>
  <w:footnote w:type="continuationSeparator" w:id="1">
    <w:p w:rsidR="000D745E" w:rsidRDefault="000D7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354FF6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354FF6" w:rsidP="00C32A93">
    <w:pPr>
      <w:rPr>
        <w:rFonts w:ascii="华文新魏" w:eastAsia="华文新魏"/>
        <w:i/>
        <w:color w:val="17365D"/>
        <w:sz w:val="44"/>
      </w:rPr>
    </w:pPr>
    <w:r w:rsidRPr="00354F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354FF6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54FF6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477"/>
    <w:rsid w:val="00E2463E"/>
    <w:rsid w:val="00E24CCB"/>
    <w:rsid w:val="00E25931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4247</TotalTime>
  <Pages>8</Pages>
  <Words>284</Words>
  <Characters>1622</Characters>
  <Application>Microsoft Office Word</Application>
  <DocSecurity>0</DocSecurity>
  <Lines>13</Lines>
  <Paragraphs>3</Paragraphs>
  <ScaleCrop>false</ScaleCrop>
  <Company>cicc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93</cp:revision>
  <cp:lastPrinted>2014-12-12T08:51:00Z</cp:lastPrinted>
  <dcterms:created xsi:type="dcterms:W3CDTF">2017-02-09T08:52:00Z</dcterms:created>
  <dcterms:modified xsi:type="dcterms:W3CDTF">2017-12-19T02:15:00Z</dcterms:modified>
</cp:coreProperties>
</file>