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4C6052" w:rsidP="00F1036E">
      <w:pPr>
        <w:spacing w:line="500" w:lineRule="exact"/>
        <w:ind w:leftChars="-405" w:left="-7" w:hangingChars="400" w:hanging="843"/>
        <w:rPr>
          <w:rFonts w:ascii="宋体" w:hAnsi="宋体" w:cs="Arial"/>
          <w:color w:val="FFFFFF"/>
          <w:sz w:val="28"/>
          <w:szCs w:val="28"/>
        </w:rPr>
      </w:pPr>
      <w:r w:rsidRPr="004C6052">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78.5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A16E67">
                    <w:rPr>
                      <w:rFonts w:ascii="黑体" w:eastAsia="黑体" w:hAnsi="黑体" w:hint="eastAsia"/>
                      <w:b/>
                      <w:bCs/>
                      <w:color w:val="365F91"/>
                      <w:sz w:val="32"/>
                      <w:szCs w:val="32"/>
                    </w:rPr>
                    <w:t>利空因素累积，短线看空</w:t>
                  </w:r>
                </w:p>
              </w:txbxContent>
            </v:textbox>
          </v:shape>
        </w:pict>
      </w:r>
      <w:r w:rsidRPr="004C6052">
        <w:rPr>
          <w:rFonts w:ascii="宋体" w:hAnsi="宋体" w:cs="Arial"/>
          <w:szCs w:val="21"/>
        </w:rPr>
      </w:r>
      <w:r w:rsidRPr="004C6052">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2017</w:t>
                  </w:r>
                  <w:r>
                    <w:rPr>
                      <w:rFonts w:eastAsia="楷体_GB2312" w:hint="eastAsia"/>
                      <w:b/>
                      <w:color w:val="FFFFFF"/>
                      <w:sz w:val="28"/>
                      <w:szCs w:val="28"/>
                    </w:rPr>
                    <w:t>年</w:t>
                  </w:r>
                  <w:r w:rsidR="00DD00AA">
                    <w:rPr>
                      <w:rFonts w:eastAsia="楷体_GB2312" w:hint="eastAsia"/>
                      <w:b/>
                      <w:color w:val="FFFFFF"/>
                      <w:sz w:val="28"/>
                      <w:szCs w:val="28"/>
                    </w:rPr>
                    <w:t>9</w:t>
                  </w:r>
                  <w:r>
                    <w:rPr>
                      <w:rFonts w:eastAsia="楷体_GB2312" w:hint="eastAsia"/>
                      <w:b/>
                      <w:color w:val="FFFFFF"/>
                      <w:sz w:val="28"/>
                      <w:szCs w:val="28"/>
                    </w:rPr>
                    <w:t>月</w:t>
                  </w:r>
                  <w:r w:rsidR="00855A04">
                    <w:rPr>
                      <w:rFonts w:eastAsia="楷体_GB2312" w:hint="eastAsia"/>
                      <w:b/>
                      <w:color w:val="FFFFFF"/>
                      <w:sz w:val="28"/>
                      <w:szCs w:val="28"/>
                    </w:rPr>
                    <w:t>11</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Default="00DD34A6" w:rsidP="00F81AB7">
      <w:pPr>
        <w:autoSpaceDE w:val="0"/>
        <w:autoSpaceDN w:val="0"/>
        <w:adjustRightInd w:val="0"/>
        <w:spacing w:line="360" w:lineRule="auto"/>
        <w:ind w:firstLineChars="200" w:firstLine="420"/>
        <w:jc w:val="left"/>
        <w:rPr>
          <w:rFonts w:ascii="STXihei" w:hAnsi="STXihei" w:cs="STXihei"/>
          <w:color w:val="000000"/>
          <w:kern w:val="0"/>
          <w:szCs w:val="21"/>
        </w:rPr>
      </w:pPr>
      <w:r w:rsidRPr="00E26E25">
        <w:rPr>
          <w:rFonts w:hint="eastAsia"/>
          <w:szCs w:val="21"/>
        </w:rPr>
        <w:t>本周甲醇</w:t>
      </w:r>
      <w:r w:rsidR="00895D31">
        <w:rPr>
          <w:rFonts w:hint="eastAsia"/>
          <w:szCs w:val="21"/>
        </w:rPr>
        <w:t>冲高回落</w:t>
      </w:r>
      <w:r w:rsidR="00BA2BF9">
        <w:rPr>
          <w:rFonts w:hint="eastAsia"/>
          <w:szCs w:val="21"/>
        </w:rPr>
        <w:t>，</w:t>
      </w:r>
      <w:r w:rsidR="00895D31">
        <w:rPr>
          <w:rFonts w:hint="eastAsia"/>
          <w:szCs w:val="21"/>
        </w:rPr>
        <w:t>没能</w:t>
      </w:r>
      <w:r w:rsidR="00BA2BF9">
        <w:rPr>
          <w:rFonts w:hint="eastAsia"/>
          <w:szCs w:val="21"/>
        </w:rPr>
        <w:t>延续上涨趋势</w:t>
      </w:r>
      <w:r w:rsidR="008E0289" w:rsidRPr="00E26E25">
        <w:rPr>
          <w:rFonts w:hint="eastAsia"/>
          <w:szCs w:val="21"/>
        </w:rPr>
        <w:t>。</w:t>
      </w:r>
      <w:r w:rsidR="00895D31">
        <w:rPr>
          <w:rFonts w:hint="eastAsia"/>
          <w:szCs w:val="21"/>
        </w:rPr>
        <w:t>主力</w:t>
      </w:r>
      <w:r w:rsidR="004511F9">
        <w:rPr>
          <w:rFonts w:hint="eastAsia"/>
          <w:szCs w:val="21"/>
        </w:rPr>
        <w:t>1801</w:t>
      </w:r>
      <w:r w:rsidR="003205D8" w:rsidRPr="00E26E25">
        <w:rPr>
          <w:rFonts w:hint="eastAsia"/>
          <w:szCs w:val="21"/>
        </w:rPr>
        <w:t>合约</w:t>
      </w:r>
      <w:r w:rsidR="00895D31">
        <w:rPr>
          <w:rFonts w:hint="eastAsia"/>
          <w:szCs w:val="21"/>
        </w:rPr>
        <w:t>在周一一度上冲至</w:t>
      </w:r>
      <w:r w:rsidR="00895D31">
        <w:rPr>
          <w:rFonts w:hint="eastAsia"/>
          <w:szCs w:val="21"/>
        </w:rPr>
        <w:t>3000</w:t>
      </w:r>
      <w:r w:rsidR="00895D31">
        <w:rPr>
          <w:rFonts w:hint="eastAsia"/>
          <w:szCs w:val="21"/>
        </w:rPr>
        <w:t>以上，后遭遇空头抵抗，本周主力合约</w:t>
      </w:r>
      <w:r w:rsidR="00FA3E4C" w:rsidRPr="00E26E25">
        <w:rPr>
          <w:rFonts w:hint="eastAsia"/>
          <w:szCs w:val="21"/>
        </w:rPr>
        <w:t>开盘</w:t>
      </w:r>
      <w:r w:rsidR="00BA2BF9">
        <w:rPr>
          <w:rFonts w:hint="eastAsia"/>
          <w:szCs w:val="21"/>
        </w:rPr>
        <w:t>2</w:t>
      </w:r>
      <w:r w:rsidR="00895D31">
        <w:rPr>
          <w:rFonts w:hint="eastAsia"/>
          <w:szCs w:val="21"/>
        </w:rPr>
        <w:t>910</w:t>
      </w:r>
      <w:r w:rsidR="00FA3E4C" w:rsidRPr="00E26E25">
        <w:rPr>
          <w:rFonts w:hint="eastAsia"/>
          <w:szCs w:val="21"/>
        </w:rPr>
        <w:t>，周最高</w:t>
      </w:r>
      <w:r w:rsidR="00895D31">
        <w:rPr>
          <w:rFonts w:hint="eastAsia"/>
          <w:szCs w:val="21"/>
        </w:rPr>
        <w:t>3024</w:t>
      </w:r>
      <w:r w:rsidR="00FA3E4C" w:rsidRPr="00E26E25">
        <w:rPr>
          <w:rFonts w:hint="eastAsia"/>
          <w:szCs w:val="21"/>
        </w:rPr>
        <w:t>，最低</w:t>
      </w:r>
      <w:r w:rsidR="007F3E1D" w:rsidRPr="00E26E25">
        <w:rPr>
          <w:rFonts w:hint="eastAsia"/>
          <w:szCs w:val="21"/>
        </w:rPr>
        <w:t>2</w:t>
      </w:r>
      <w:r w:rsidR="00895D31">
        <w:rPr>
          <w:rFonts w:hint="eastAsia"/>
          <w:szCs w:val="21"/>
        </w:rPr>
        <w:t>856</w:t>
      </w:r>
      <w:r w:rsidR="00FA3E4C" w:rsidRPr="00E26E25">
        <w:rPr>
          <w:rFonts w:hint="eastAsia"/>
          <w:szCs w:val="21"/>
        </w:rPr>
        <w:t>，收盘</w:t>
      </w:r>
      <w:r w:rsidR="007F3E1D" w:rsidRPr="00E26E25">
        <w:rPr>
          <w:rFonts w:hint="eastAsia"/>
          <w:szCs w:val="21"/>
        </w:rPr>
        <w:t>2</w:t>
      </w:r>
      <w:r w:rsidR="00895D31">
        <w:rPr>
          <w:rFonts w:hint="eastAsia"/>
          <w:szCs w:val="21"/>
        </w:rPr>
        <w:t>881</w:t>
      </w:r>
      <w:r w:rsidR="002516D0" w:rsidRPr="00E26E25">
        <w:rPr>
          <w:rFonts w:hint="eastAsia"/>
          <w:szCs w:val="21"/>
        </w:rPr>
        <w:t>，较上周</w:t>
      </w:r>
      <w:r w:rsidR="00895D31">
        <w:rPr>
          <w:rFonts w:hint="eastAsia"/>
          <w:szCs w:val="21"/>
        </w:rPr>
        <w:t>跌</w:t>
      </w:r>
      <w:r w:rsidR="00895D31">
        <w:rPr>
          <w:rFonts w:hint="eastAsia"/>
          <w:szCs w:val="21"/>
        </w:rPr>
        <w:t>31</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895D31">
        <w:rPr>
          <w:rFonts w:hint="eastAsia"/>
          <w:szCs w:val="21"/>
        </w:rPr>
        <w:t>586.9</w:t>
      </w:r>
      <w:r w:rsidR="00804C21" w:rsidRPr="00E26E25">
        <w:rPr>
          <w:rFonts w:hint="eastAsia"/>
          <w:szCs w:val="21"/>
        </w:rPr>
        <w:t>万手，</w:t>
      </w:r>
      <w:r w:rsidR="00BA2BF9">
        <w:rPr>
          <w:rFonts w:hint="eastAsia"/>
          <w:szCs w:val="21"/>
        </w:rPr>
        <w:t>增</w:t>
      </w:r>
      <w:r w:rsidR="00895D31">
        <w:rPr>
          <w:rFonts w:hint="eastAsia"/>
          <w:szCs w:val="21"/>
        </w:rPr>
        <w:t>162.1</w:t>
      </w:r>
      <w:r w:rsidR="00FA3E4C" w:rsidRPr="00E26E25">
        <w:rPr>
          <w:rFonts w:hint="eastAsia"/>
          <w:szCs w:val="21"/>
        </w:rPr>
        <w:t>万手，持仓</w:t>
      </w:r>
      <w:r w:rsidR="00895D31">
        <w:rPr>
          <w:rFonts w:hint="eastAsia"/>
          <w:szCs w:val="21"/>
        </w:rPr>
        <w:t>64.5</w:t>
      </w:r>
      <w:r w:rsidR="00FA3E4C" w:rsidRPr="00E26E25">
        <w:rPr>
          <w:rFonts w:hint="eastAsia"/>
          <w:szCs w:val="21"/>
        </w:rPr>
        <w:t>万手，</w:t>
      </w:r>
      <w:r w:rsidR="00895D31">
        <w:rPr>
          <w:rFonts w:hint="eastAsia"/>
          <w:szCs w:val="21"/>
        </w:rPr>
        <w:t>减</w:t>
      </w:r>
      <w:r w:rsidR="00895D31">
        <w:rPr>
          <w:rFonts w:hint="eastAsia"/>
          <w:szCs w:val="21"/>
        </w:rPr>
        <w:t>0.3</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855A04" w:rsidTr="009F1D84">
        <w:trPr>
          <w:cnfStyle w:val="000000100000"/>
          <w:trHeight w:val="469"/>
        </w:trPr>
        <w:tc>
          <w:tcPr>
            <w:cnfStyle w:val="001000000000"/>
            <w:tcW w:w="3436" w:type="dxa"/>
          </w:tcPr>
          <w:p w:rsidR="00855A04" w:rsidRDefault="00855A04"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855A04" w:rsidRDefault="00224C9D"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2910</w:t>
            </w:r>
          </w:p>
        </w:tc>
        <w:tc>
          <w:tcPr>
            <w:tcW w:w="3438" w:type="dxa"/>
          </w:tcPr>
          <w:p w:rsidR="00855A04" w:rsidRDefault="00855A04" w:rsidP="00E2362F">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2759</w:t>
            </w:r>
          </w:p>
        </w:tc>
      </w:tr>
      <w:tr w:rsidR="00855A04" w:rsidTr="009F1D84">
        <w:trPr>
          <w:cnfStyle w:val="000000010000"/>
          <w:trHeight w:val="469"/>
        </w:trPr>
        <w:tc>
          <w:tcPr>
            <w:cnfStyle w:val="001000000000"/>
            <w:tcW w:w="3436" w:type="dxa"/>
          </w:tcPr>
          <w:p w:rsidR="00855A04" w:rsidRDefault="00855A04"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855A04" w:rsidRDefault="00224C9D"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3024</w:t>
            </w:r>
          </w:p>
        </w:tc>
        <w:tc>
          <w:tcPr>
            <w:tcW w:w="3438" w:type="dxa"/>
          </w:tcPr>
          <w:p w:rsidR="00855A04" w:rsidRDefault="00855A04" w:rsidP="00E2362F">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2927</w:t>
            </w:r>
          </w:p>
        </w:tc>
      </w:tr>
      <w:tr w:rsidR="00855A04" w:rsidTr="009F1D84">
        <w:trPr>
          <w:cnfStyle w:val="000000100000"/>
          <w:trHeight w:val="484"/>
        </w:trPr>
        <w:tc>
          <w:tcPr>
            <w:cnfStyle w:val="001000000000"/>
            <w:tcW w:w="3436" w:type="dxa"/>
          </w:tcPr>
          <w:p w:rsidR="00855A04" w:rsidRDefault="00855A04"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855A04" w:rsidRDefault="00224C9D"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2856</w:t>
            </w:r>
          </w:p>
        </w:tc>
        <w:tc>
          <w:tcPr>
            <w:tcW w:w="3438" w:type="dxa"/>
          </w:tcPr>
          <w:p w:rsidR="00855A04" w:rsidRDefault="00855A04" w:rsidP="00E2362F">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2731</w:t>
            </w:r>
          </w:p>
        </w:tc>
      </w:tr>
      <w:tr w:rsidR="00855A04" w:rsidTr="009F1D84">
        <w:trPr>
          <w:cnfStyle w:val="000000010000"/>
          <w:trHeight w:val="469"/>
        </w:trPr>
        <w:tc>
          <w:tcPr>
            <w:cnfStyle w:val="001000000000"/>
            <w:tcW w:w="3436" w:type="dxa"/>
          </w:tcPr>
          <w:p w:rsidR="00855A04" w:rsidRDefault="00855A04"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855A04" w:rsidRDefault="00224C9D"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2881</w:t>
            </w:r>
          </w:p>
        </w:tc>
        <w:tc>
          <w:tcPr>
            <w:tcW w:w="3438" w:type="dxa"/>
          </w:tcPr>
          <w:p w:rsidR="00855A04" w:rsidRDefault="00855A04" w:rsidP="00E2362F">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2912</w:t>
            </w:r>
          </w:p>
        </w:tc>
      </w:tr>
      <w:tr w:rsidR="00855A04" w:rsidTr="009F1D84">
        <w:trPr>
          <w:cnfStyle w:val="000000100000"/>
          <w:trHeight w:val="484"/>
        </w:trPr>
        <w:tc>
          <w:tcPr>
            <w:cnfStyle w:val="001000000000"/>
            <w:tcW w:w="3436" w:type="dxa"/>
          </w:tcPr>
          <w:p w:rsidR="00855A04" w:rsidRDefault="00855A04"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855A04" w:rsidRDefault="00224C9D"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586.9</w:t>
            </w:r>
            <w:r>
              <w:rPr>
                <w:rFonts w:ascii="STXihei" w:hAnsi="STXihei" w:cs="STXihei" w:hint="eastAsia"/>
                <w:color w:val="000000"/>
                <w:kern w:val="0"/>
                <w:szCs w:val="21"/>
              </w:rPr>
              <w:t>万</w:t>
            </w:r>
          </w:p>
        </w:tc>
        <w:tc>
          <w:tcPr>
            <w:tcW w:w="3438" w:type="dxa"/>
          </w:tcPr>
          <w:p w:rsidR="00855A04" w:rsidRDefault="00855A04" w:rsidP="00E2362F">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424.8</w:t>
            </w:r>
            <w:r>
              <w:rPr>
                <w:rFonts w:ascii="STXihei" w:hAnsi="STXihei" w:cs="STXihei" w:hint="eastAsia"/>
                <w:color w:val="000000"/>
                <w:kern w:val="0"/>
                <w:szCs w:val="21"/>
              </w:rPr>
              <w:t>万</w:t>
            </w:r>
          </w:p>
        </w:tc>
      </w:tr>
      <w:tr w:rsidR="00855A04" w:rsidTr="009F1D84">
        <w:trPr>
          <w:cnfStyle w:val="000000010000"/>
          <w:trHeight w:val="484"/>
        </w:trPr>
        <w:tc>
          <w:tcPr>
            <w:cnfStyle w:val="001000000000"/>
            <w:tcW w:w="3436" w:type="dxa"/>
          </w:tcPr>
          <w:p w:rsidR="00855A04" w:rsidRDefault="00855A04"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855A04" w:rsidRDefault="00224C9D"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64.5</w:t>
            </w:r>
            <w:r>
              <w:rPr>
                <w:rFonts w:ascii="STXihei" w:hAnsi="STXihei" w:cs="STXihei" w:hint="eastAsia"/>
                <w:color w:val="000000"/>
                <w:kern w:val="0"/>
                <w:szCs w:val="21"/>
              </w:rPr>
              <w:t>万</w:t>
            </w:r>
          </w:p>
        </w:tc>
        <w:tc>
          <w:tcPr>
            <w:tcW w:w="3438" w:type="dxa"/>
          </w:tcPr>
          <w:p w:rsidR="00855A04" w:rsidRDefault="00855A04" w:rsidP="00E2362F">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64.8</w:t>
            </w:r>
            <w:r>
              <w:rPr>
                <w:rFonts w:ascii="STXihei" w:hAnsi="STXihei" w:cs="STXihei" w:hint="eastAsia"/>
                <w:color w:val="000000"/>
                <w:kern w:val="0"/>
                <w:szCs w:val="21"/>
              </w:rPr>
              <w:t>万</w:t>
            </w:r>
          </w:p>
        </w:tc>
      </w:tr>
    </w:tbl>
    <w:p w:rsidR="00217FA2" w:rsidRDefault="00964CCA" w:rsidP="00217FA2">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8D7629" w:rsidRPr="00217FA2" w:rsidRDefault="00224C9D" w:rsidP="00217FA2">
      <w:pPr>
        <w:widowControl/>
        <w:jc w:val="left"/>
        <w:rPr>
          <w:rFonts w:ascii="宋体" w:hAnsi="宋体" w:cs="宋体"/>
          <w:kern w:val="0"/>
          <w:sz w:val="24"/>
        </w:rPr>
      </w:pPr>
      <w:r>
        <w:rPr>
          <w:rFonts w:ascii="宋体" w:hAnsi="宋体" w:cs="宋体"/>
          <w:noProof/>
          <w:kern w:val="0"/>
          <w:sz w:val="24"/>
        </w:rPr>
        <w:drawing>
          <wp:inline distT="0" distB="0" distL="0" distR="0">
            <wp:extent cx="6407628" cy="2794959"/>
            <wp:effectExtent l="19050" t="0" r="0" b="0"/>
            <wp:docPr id="1" name="图片 2" descr="C:\Users\Administrator\AppData\Roaming\Tencent\Users\276171027\QQ\WinTemp\RichOle\J@OALURY)])~G}LZ(UU[}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171027\QQ\WinTemp\RichOle\J@OALURY)])~G}LZ(UU[}A1.png"/>
                    <pic:cNvPicPr>
                      <a:picLocks noChangeAspect="1" noChangeArrowheads="1"/>
                    </pic:cNvPicPr>
                  </pic:nvPicPr>
                  <pic:blipFill>
                    <a:blip r:embed="rId8"/>
                    <a:srcRect/>
                    <a:stretch>
                      <a:fillRect/>
                    </a:stretch>
                  </pic:blipFill>
                  <pic:spPr bwMode="auto">
                    <a:xfrm>
                      <a:off x="0" y="0"/>
                      <a:ext cx="6411608" cy="2796695"/>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964CCA" w:rsidRDefault="00964CCA" w:rsidP="00964CCA">
      <w:pPr>
        <w:jc w:val="left"/>
        <w:rPr>
          <w:rFonts w:ascii="黑体" w:eastAsia="黑体" w:hAnsi="宋体"/>
          <w:bCs/>
          <w:color w:val="000000"/>
          <w:sz w:val="24"/>
        </w:rPr>
      </w:pPr>
      <w:r w:rsidRPr="00B52C0E">
        <w:rPr>
          <w:rFonts w:ascii="STXihei" w:hAnsi="STXihei" w:cs="STXihei" w:hint="eastAsia"/>
          <w:color w:val="000000"/>
          <w:kern w:val="0"/>
          <w:szCs w:val="21"/>
        </w:rPr>
        <w:t>Brent</w:t>
      </w:r>
      <w:r w:rsidRPr="00B52C0E">
        <w:rPr>
          <w:rFonts w:ascii="STXihei" w:hAnsi="STXihei" w:cs="STXihei" w:hint="eastAsia"/>
          <w:color w:val="000000"/>
          <w:kern w:val="0"/>
          <w:szCs w:val="21"/>
        </w:rPr>
        <w:t>原油</w:t>
      </w:r>
      <w:r>
        <w:rPr>
          <w:rFonts w:ascii="黑体" w:eastAsia="黑体" w:hAnsi="宋体" w:hint="eastAsia"/>
          <w:bCs/>
          <w:color w:val="000000"/>
          <w:sz w:val="24"/>
        </w:rPr>
        <w:t>：</w:t>
      </w:r>
    </w:p>
    <w:p w:rsidR="00964CCA" w:rsidRPr="00964CCA" w:rsidRDefault="00895D31" w:rsidP="00964CCA">
      <w:pPr>
        <w:widowControl/>
        <w:jc w:val="left"/>
        <w:rPr>
          <w:rFonts w:ascii="宋体" w:hAnsi="宋体" w:cs="宋体"/>
          <w:kern w:val="0"/>
          <w:sz w:val="24"/>
        </w:rPr>
      </w:pPr>
      <w:r>
        <w:rPr>
          <w:rFonts w:ascii="宋体" w:hAnsi="宋体" w:cs="宋体"/>
          <w:noProof/>
          <w:kern w:val="0"/>
          <w:sz w:val="24"/>
        </w:rPr>
        <w:drawing>
          <wp:inline distT="0" distB="0" distL="0" distR="0">
            <wp:extent cx="6235101" cy="2613804"/>
            <wp:effectExtent l="19050" t="0" r="0" b="0"/>
            <wp:docPr id="4" name="图片 4" descr="C:\Users\Administrator\AppData\Roaming\Tencent\Users\276171027\QQ\WinTemp\RichOle\2K(3X%EUVA0FQGR_A2H9K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76171027\QQ\WinTemp\RichOle\2K(3X%EUVA0FQGR_A2H9K22.png"/>
                    <pic:cNvPicPr>
                      <a:picLocks noChangeAspect="1" noChangeArrowheads="1"/>
                    </pic:cNvPicPr>
                  </pic:nvPicPr>
                  <pic:blipFill>
                    <a:blip r:embed="rId9"/>
                    <a:srcRect/>
                    <a:stretch>
                      <a:fillRect/>
                    </a:stretch>
                  </pic:blipFill>
                  <pic:spPr bwMode="auto">
                    <a:xfrm>
                      <a:off x="0" y="0"/>
                      <a:ext cx="6236134" cy="2614237"/>
                    </a:xfrm>
                    <a:prstGeom prst="rect">
                      <a:avLst/>
                    </a:prstGeom>
                    <a:noFill/>
                    <a:ln w="9525">
                      <a:noFill/>
                      <a:miter lim="800000"/>
                      <a:headEnd/>
                      <a:tailEnd/>
                    </a:ln>
                  </pic:spPr>
                </pic:pic>
              </a:graphicData>
            </a:graphic>
          </wp:inline>
        </w:drawing>
      </w:r>
    </w:p>
    <w:p w:rsidR="00964CCA" w:rsidRDefault="00B52C0E" w:rsidP="00B52C0E">
      <w:pPr>
        <w:jc w:val="right"/>
        <w:rPr>
          <w:rFonts w:ascii="STXihei" w:hAnsi="STXihei" w:cs="STXihei"/>
          <w:color w:val="000000"/>
          <w:kern w:val="0"/>
          <w:szCs w:val="21"/>
        </w:rPr>
      </w:pPr>
      <w:r w:rsidRPr="00B52C0E">
        <w:rPr>
          <w:rFonts w:ascii="STXihei" w:hAnsi="STXihei" w:cs="STXihei" w:hint="eastAsia"/>
          <w:color w:val="000000"/>
          <w:kern w:val="0"/>
          <w:szCs w:val="21"/>
        </w:rPr>
        <w:t>数据来源：文华财经，</w:t>
      </w:r>
      <w:r w:rsidR="005258BC">
        <w:rPr>
          <w:rFonts w:ascii="STXihei" w:hAnsi="STXihei" w:cs="STXihei" w:hint="eastAsia"/>
          <w:color w:val="000000"/>
          <w:kern w:val="0"/>
          <w:szCs w:val="21"/>
        </w:rPr>
        <w:t>通惠</w:t>
      </w:r>
      <w:r w:rsidRPr="00B52C0E">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B52C0E">
        <w:rPr>
          <w:rFonts w:ascii="STXihei" w:hAnsi="STXihei" w:cs="STXihei" w:hint="eastAsia"/>
          <w:color w:val="000000"/>
          <w:kern w:val="0"/>
          <w:szCs w:val="21"/>
        </w:rPr>
        <w:t>部</w:t>
      </w:r>
    </w:p>
    <w:p w:rsidR="0026607D" w:rsidRPr="00895D31" w:rsidRDefault="00895D31" w:rsidP="00895D31">
      <w:pPr>
        <w:autoSpaceDE w:val="0"/>
        <w:autoSpaceDN w:val="0"/>
        <w:adjustRightInd w:val="0"/>
        <w:spacing w:line="360" w:lineRule="auto"/>
        <w:ind w:firstLineChars="200" w:firstLine="420"/>
        <w:jc w:val="left"/>
        <w:rPr>
          <w:szCs w:val="21"/>
        </w:rPr>
      </w:pPr>
      <w:r w:rsidRPr="00895D31">
        <w:rPr>
          <w:rFonts w:hint="eastAsia"/>
          <w:szCs w:val="21"/>
        </w:rPr>
        <w:t>本周原油价格整体呈现连续上涨态势，且涨幅较大，美原油最高价一度迈上</w:t>
      </w:r>
      <w:r w:rsidRPr="00895D31">
        <w:rPr>
          <w:szCs w:val="21"/>
        </w:rPr>
        <w:t xml:space="preserve">49.42 </w:t>
      </w:r>
      <w:r w:rsidRPr="00895D31">
        <w:rPr>
          <w:rFonts w:hint="eastAsia"/>
          <w:szCs w:val="21"/>
        </w:rPr>
        <w:t>美元</w:t>
      </w:r>
      <w:r w:rsidRPr="00895D31">
        <w:rPr>
          <w:szCs w:val="21"/>
        </w:rPr>
        <w:t>/</w:t>
      </w:r>
      <w:r w:rsidRPr="00895D31">
        <w:rPr>
          <w:rFonts w:hint="eastAsia"/>
          <w:szCs w:val="21"/>
        </w:rPr>
        <w:t>桶关口。</w:t>
      </w:r>
      <w:r>
        <w:rPr>
          <w:rFonts w:hint="eastAsia"/>
          <w:szCs w:val="21"/>
        </w:rPr>
        <w:t>从消息面</w:t>
      </w:r>
      <w:r w:rsidRPr="00895D31">
        <w:rPr>
          <w:rFonts w:hint="eastAsia"/>
          <w:szCs w:val="21"/>
        </w:rPr>
        <w:t>看，油价接连上涨的动因无非两个，一个便是“哈维”逐渐消退，大量的炼厂相继复工，原油需求逐步回暖。受飓风关闭的港口和管道也相继开通，</w:t>
      </w:r>
      <w:r>
        <w:rPr>
          <w:szCs w:val="21"/>
        </w:rPr>
        <w:t>API</w:t>
      </w:r>
      <w:r w:rsidRPr="00895D31">
        <w:rPr>
          <w:rFonts w:hint="eastAsia"/>
          <w:szCs w:val="21"/>
        </w:rPr>
        <w:t>公布的原油库存增幅并未超过市场预期，而汽油和精炼油库存均出现下降。另一个便是俄罗斯和伊朗对于油市再平衡和延长减产的讨论，若在明年</w:t>
      </w:r>
      <w:r w:rsidRPr="00895D31">
        <w:rPr>
          <w:szCs w:val="21"/>
        </w:rPr>
        <w:t xml:space="preserve">4 </w:t>
      </w:r>
      <w:r w:rsidRPr="00895D31">
        <w:rPr>
          <w:rFonts w:hint="eastAsia"/>
          <w:szCs w:val="21"/>
        </w:rPr>
        <w:t>月</w:t>
      </w:r>
      <w:r w:rsidRPr="00895D31">
        <w:rPr>
          <w:szCs w:val="21"/>
        </w:rPr>
        <w:t xml:space="preserve">1 </w:t>
      </w:r>
      <w:r w:rsidRPr="00895D31">
        <w:rPr>
          <w:rFonts w:hint="eastAsia"/>
          <w:szCs w:val="21"/>
        </w:rPr>
        <w:t>日，油市无法实现再平衡，各减产国有望继续延长减产。虽然利比亚</w:t>
      </w:r>
      <w:r w:rsidRPr="00895D31">
        <w:rPr>
          <w:szCs w:val="21"/>
        </w:rPr>
        <w:t xml:space="preserve">sharara </w:t>
      </w:r>
      <w:r w:rsidRPr="00895D31">
        <w:rPr>
          <w:rFonts w:hint="eastAsia"/>
          <w:szCs w:val="21"/>
        </w:rPr>
        <w:t>油田料将再度重启令多头担忧，但整体处于双重利好之下，油价实现了接连上涨。</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A65DF5" w:rsidP="005258BC">
      <w:pPr>
        <w:widowControl/>
        <w:spacing w:line="360" w:lineRule="auto"/>
        <w:jc w:val="left"/>
        <w:rPr>
          <w:rFonts w:ascii="黑体" w:eastAsia="黑体" w:hAnsi="宋体"/>
          <w:bCs/>
          <w:color w:val="000000"/>
          <w:szCs w:val="21"/>
          <w:lang w:val="zh-CN"/>
        </w:rPr>
      </w:pPr>
      <w:r w:rsidRPr="00A65DF5">
        <w:rPr>
          <w:rFonts w:ascii="黑体" w:eastAsia="黑体" w:hAnsi="宋体"/>
          <w:bCs/>
          <w:noProof/>
          <w:color w:val="000000"/>
          <w:szCs w:val="21"/>
        </w:rPr>
        <w:drawing>
          <wp:inline distT="0" distB="0" distL="0" distR="0">
            <wp:extent cx="6373124" cy="2766796"/>
            <wp:effectExtent l="19050" t="0" r="8626" b="0"/>
            <wp:docPr id="13" name="图片 2"/>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6371430" cy="2766060"/>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lastRenderedPageBreak/>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77541" w:rsidRPr="002D4AF6" w:rsidRDefault="00A3511C"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t>近期动力煤行情</w:t>
      </w:r>
      <w:r w:rsidR="00A65DF5">
        <w:rPr>
          <w:rFonts w:ascii="STXihei" w:hAnsi="STXihei" w:cs="STXihei" w:hint="eastAsia"/>
          <w:color w:val="000000"/>
          <w:kern w:val="0"/>
          <w:szCs w:val="21"/>
        </w:rPr>
        <w:t>有所反弹</w:t>
      </w:r>
      <w:r>
        <w:rPr>
          <w:rFonts w:ascii="STXihei" w:hAnsi="STXihei" w:cs="STXihei" w:hint="eastAsia"/>
          <w:color w:val="000000"/>
          <w:kern w:val="0"/>
          <w:szCs w:val="21"/>
        </w:rPr>
        <w:t>，原料端对甲醇的支撑力度</w:t>
      </w:r>
      <w:r w:rsidR="00BA2BF9">
        <w:rPr>
          <w:rFonts w:ascii="STXihei" w:hAnsi="STXihei" w:cs="STXihei" w:hint="eastAsia"/>
          <w:color w:val="000000"/>
          <w:kern w:val="0"/>
          <w:szCs w:val="21"/>
        </w:rPr>
        <w:t>较</w:t>
      </w:r>
      <w:r>
        <w:rPr>
          <w:rFonts w:ascii="STXihei" w:hAnsi="STXihei" w:cs="STXihei" w:hint="eastAsia"/>
          <w:color w:val="000000"/>
          <w:kern w:val="0"/>
          <w:szCs w:val="21"/>
        </w:rPr>
        <w:t>强</w:t>
      </w:r>
      <w:r w:rsidR="005258BC">
        <w:rPr>
          <w:rFonts w:ascii="STXihei" w:hAnsi="STXihei" w:cs="STXihei" w:hint="eastAsia"/>
          <w:color w:val="000000"/>
          <w:kern w:val="0"/>
          <w:szCs w:val="21"/>
        </w:rPr>
        <w:t>。</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A65DF5" w:rsidP="00E8496D">
      <w:pPr>
        <w:widowControl/>
        <w:spacing w:line="360" w:lineRule="auto"/>
        <w:jc w:val="left"/>
        <w:rPr>
          <w:rFonts w:ascii="宋体" w:hAnsi="宋体" w:cs="Arial"/>
          <w:b/>
          <w:color w:val="0070C0"/>
          <w:kern w:val="0"/>
          <w:sz w:val="28"/>
          <w:szCs w:val="28"/>
        </w:rPr>
      </w:pPr>
      <w:r w:rsidRPr="00A65DF5">
        <w:rPr>
          <w:rFonts w:ascii="宋体" w:hAnsi="宋体" w:cs="Arial"/>
          <w:b/>
          <w:noProof/>
          <w:color w:val="0070C0"/>
          <w:kern w:val="0"/>
          <w:sz w:val="28"/>
          <w:szCs w:val="28"/>
        </w:rPr>
        <w:drawing>
          <wp:inline distT="0" distB="0" distL="0" distR="0">
            <wp:extent cx="6399003" cy="2759174"/>
            <wp:effectExtent l="19050" t="0" r="1797" b="0"/>
            <wp:docPr id="17" name="图片 3"/>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6397301" cy="275844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D17195" w:rsidRDefault="00D5001B" w:rsidP="00713078">
      <w:pPr>
        <w:autoSpaceDE w:val="0"/>
        <w:autoSpaceDN w:val="0"/>
        <w:adjustRightInd w:val="0"/>
        <w:spacing w:line="360" w:lineRule="auto"/>
        <w:ind w:firstLineChars="200" w:firstLine="420"/>
        <w:jc w:val="left"/>
        <w:rPr>
          <w:szCs w:val="21"/>
        </w:rPr>
      </w:pPr>
      <w:r>
        <w:rPr>
          <w:szCs w:val="21"/>
        </w:rPr>
        <w:t>本周，沿海甲醇市场先跌后涨，演绎</w:t>
      </w:r>
      <w:r>
        <w:rPr>
          <w:szCs w:val="21"/>
        </w:rPr>
        <w:t>“</w:t>
      </w:r>
      <w:r w:rsidRPr="00D5001B">
        <w:rPr>
          <w:szCs w:val="21"/>
        </w:rPr>
        <w:t>V</w:t>
      </w:r>
      <w:r>
        <w:rPr>
          <w:szCs w:val="21"/>
        </w:rPr>
        <w:t>”</w:t>
      </w:r>
      <w:r>
        <w:rPr>
          <w:szCs w:val="21"/>
        </w:rPr>
        <w:t>字形走势。周初，虽然借助外盘和期货，有货一族对于拉涨意犹未尽，但高价明显超出买方心里价位，买方多谨慎观望，部分有货者多卖出现货补入</w:t>
      </w:r>
      <w:r w:rsidRPr="00D5001B">
        <w:rPr>
          <w:szCs w:val="21"/>
        </w:rPr>
        <w:t>9</w:t>
      </w:r>
      <w:r>
        <w:rPr>
          <w:szCs w:val="21"/>
        </w:rPr>
        <w:t>月下旬期货避险。周初现货放量明显不足，周后期，随着中东一套甲醇装置停车检修以及西南装置集中降负或停车检修消息支撑下，有货者再度控盘惜售，重要外商和港口大户积极补空交合约，故江苏、华南和宁波三地批量成交重心再度上扬，外盘价格同样</w:t>
      </w:r>
      <w:r>
        <w:rPr>
          <w:szCs w:val="21"/>
        </w:rPr>
        <w:t>“</w:t>
      </w:r>
      <w:r>
        <w:rPr>
          <w:szCs w:val="21"/>
        </w:rPr>
        <w:t>水涨船高</w:t>
      </w:r>
      <w:r>
        <w:rPr>
          <w:szCs w:val="21"/>
        </w:rPr>
        <w:t>”</w:t>
      </w:r>
      <w:r>
        <w:rPr>
          <w:szCs w:val="21"/>
        </w:rPr>
        <w:t>。纸货方面，周初业者换货或者卖出现货买入</w:t>
      </w:r>
      <w:r w:rsidRPr="00D5001B">
        <w:rPr>
          <w:szCs w:val="21"/>
        </w:rPr>
        <w:t>9</w:t>
      </w:r>
      <w:r>
        <w:rPr>
          <w:szCs w:val="21"/>
        </w:rPr>
        <w:t>月下旬期货操作，随着外盘停车检修消息刺激，周后期</w:t>
      </w:r>
      <w:r w:rsidRPr="00D5001B">
        <w:rPr>
          <w:szCs w:val="21"/>
        </w:rPr>
        <w:t>10</w:t>
      </w:r>
      <w:r>
        <w:rPr>
          <w:szCs w:val="21"/>
        </w:rPr>
        <w:t>月份期货买盘增多，</w:t>
      </w:r>
      <w:r w:rsidRPr="00D5001B">
        <w:rPr>
          <w:szCs w:val="21"/>
        </w:rPr>
        <w:t>10</w:t>
      </w:r>
      <w:r>
        <w:rPr>
          <w:szCs w:val="21"/>
        </w:rPr>
        <w:t>月下旬期货成交放量激增。</w:t>
      </w:r>
    </w:p>
    <w:p w:rsidR="009E1B42" w:rsidRPr="00713078" w:rsidRDefault="00D5001B" w:rsidP="00713078">
      <w:pPr>
        <w:autoSpaceDE w:val="0"/>
        <w:autoSpaceDN w:val="0"/>
        <w:adjustRightInd w:val="0"/>
        <w:spacing w:line="360" w:lineRule="auto"/>
        <w:ind w:firstLineChars="200" w:firstLine="420"/>
        <w:jc w:val="left"/>
        <w:rPr>
          <w:szCs w:val="21"/>
        </w:rPr>
      </w:pPr>
      <w:r>
        <w:rPr>
          <w:szCs w:val="21"/>
        </w:rPr>
        <w:t>本周，内地甲醇市场稳中有升。西北地区虽然周内供应恢复，但仍以前期合同为主，部分煤制烯烃外采导致区域可售货源仍较为紧缺。关中地区部分出货尚可，部分流转川渝、两湖。山东地区周初窄幅走高后，陷高位整理。中北部商家心态略分歧，高位谨慎出货为主，但下游采购维持刚需，成交平平；鲁南因下游仍在环保承压中，商谈略显有价无市。河南地区高位整理，周初走货顺利，周后期排货遇阻。河北地区全面上涨，周初价格略低，周中随行甩货后积极补涨。</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D5001B" w:rsidTr="00443C09">
        <w:trPr>
          <w:cnfStyle w:val="000000100000"/>
        </w:trPr>
        <w:tc>
          <w:tcPr>
            <w:cnfStyle w:val="001000000000"/>
            <w:tcW w:w="3474" w:type="dxa"/>
          </w:tcPr>
          <w:p w:rsidR="00D5001B" w:rsidRDefault="00D5001B"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D5001B" w:rsidRDefault="00D5001B" w:rsidP="002403E6">
            <w:pPr>
              <w:widowControl/>
              <w:spacing w:line="360" w:lineRule="auto"/>
              <w:jc w:val="center"/>
              <w:cnfStyle w:val="000000100000"/>
              <w:rPr>
                <w:rFonts w:ascii="宋体" w:hAnsi="宋体" w:cs="Arial"/>
                <w:kern w:val="0"/>
                <w:szCs w:val="21"/>
              </w:rPr>
            </w:pPr>
            <w:r>
              <w:rPr>
                <w:rFonts w:ascii="宋体" w:hAnsi="宋体" w:cs="Arial" w:hint="eastAsia"/>
                <w:kern w:val="0"/>
                <w:szCs w:val="21"/>
              </w:rPr>
              <w:t>2915</w:t>
            </w:r>
          </w:p>
        </w:tc>
        <w:tc>
          <w:tcPr>
            <w:tcW w:w="3474" w:type="dxa"/>
          </w:tcPr>
          <w:p w:rsidR="00D5001B" w:rsidRDefault="00D5001B" w:rsidP="009D7531">
            <w:pPr>
              <w:widowControl/>
              <w:spacing w:line="360" w:lineRule="auto"/>
              <w:jc w:val="center"/>
              <w:cnfStyle w:val="000000100000"/>
              <w:rPr>
                <w:rFonts w:ascii="宋体" w:hAnsi="宋体" w:cs="Arial"/>
                <w:kern w:val="0"/>
                <w:szCs w:val="21"/>
              </w:rPr>
            </w:pPr>
            <w:r>
              <w:rPr>
                <w:rFonts w:ascii="宋体" w:hAnsi="宋体" w:cs="Arial" w:hint="eastAsia"/>
                <w:kern w:val="0"/>
                <w:szCs w:val="21"/>
              </w:rPr>
              <w:t>2835</w:t>
            </w:r>
          </w:p>
        </w:tc>
      </w:tr>
      <w:tr w:rsidR="00D5001B" w:rsidTr="00443C09">
        <w:trPr>
          <w:cnfStyle w:val="000000010000"/>
        </w:trPr>
        <w:tc>
          <w:tcPr>
            <w:cnfStyle w:val="001000000000"/>
            <w:tcW w:w="3474" w:type="dxa"/>
          </w:tcPr>
          <w:p w:rsidR="00D5001B" w:rsidRDefault="00D5001B"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D5001B" w:rsidRDefault="00D5001B" w:rsidP="00443C09">
            <w:pPr>
              <w:widowControl/>
              <w:spacing w:line="360" w:lineRule="auto"/>
              <w:jc w:val="center"/>
              <w:cnfStyle w:val="000000010000"/>
              <w:rPr>
                <w:rFonts w:ascii="宋体" w:hAnsi="宋体" w:cs="Arial"/>
                <w:kern w:val="0"/>
                <w:szCs w:val="21"/>
              </w:rPr>
            </w:pPr>
            <w:r>
              <w:rPr>
                <w:rFonts w:ascii="宋体" w:hAnsi="宋体" w:cs="Arial" w:hint="eastAsia"/>
                <w:kern w:val="0"/>
                <w:szCs w:val="21"/>
              </w:rPr>
              <w:t>2940</w:t>
            </w:r>
          </w:p>
        </w:tc>
        <w:tc>
          <w:tcPr>
            <w:tcW w:w="3474" w:type="dxa"/>
          </w:tcPr>
          <w:p w:rsidR="00D5001B" w:rsidRDefault="00D5001B" w:rsidP="009D7531">
            <w:pPr>
              <w:widowControl/>
              <w:spacing w:line="360" w:lineRule="auto"/>
              <w:jc w:val="center"/>
              <w:cnfStyle w:val="000000010000"/>
              <w:rPr>
                <w:rFonts w:ascii="宋体" w:hAnsi="宋体" w:cs="Arial"/>
                <w:kern w:val="0"/>
                <w:szCs w:val="21"/>
              </w:rPr>
            </w:pPr>
            <w:r>
              <w:rPr>
                <w:rFonts w:ascii="宋体" w:hAnsi="宋体" w:cs="Arial" w:hint="eastAsia"/>
                <w:kern w:val="0"/>
                <w:szCs w:val="21"/>
              </w:rPr>
              <w:t>2865</w:t>
            </w:r>
          </w:p>
        </w:tc>
      </w:tr>
      <w:tr w:rsidR="00D5001B" w:rsidTr="00443C09">
        <w:trPr>
          <w:cnfStyle w:val="000000100000"/>
        </w:trPr>
        <w:tc>
          <w:tcPr>
            <w:cnfStyle w:val="001000000000"/>
            <w:tcW w:w="3474" w:type="dxa"/>
          </w:tcPr>
          <w:p w:rsidR="00D5001B" w:rsidRDefault="00D5001B" w:rsidP="00443C09">
            <w:pPr>
              <w:widowControl/>
              <w:spacing w:line="360" w:lineRule="auto"/>
              <w:jc w:val="center"/>
              <w:rPr>
                <w:rFonts w:ascii="宋体" w:hAnsi="宋体" w:cs="Arial"/>
                <w:kern w:val="0"/>
                <w:szCs w:val="21"/>
              </w:rPr>
            </w:pPr>
            <w:r>
              <w:rPr>
                <w:rFonts w:ascii="宋体" w:hAnsi="宋体" w:cs="Arial" w:hint="eastAsia"/>
                <w:kern w:val="0"/>
                <w:szCs w:val="21"/>
              </w:rPr>
              <w:lastRenderedPageBreak/>
              <w:t>广东</w:t>
            </w:r>
          </w:p>
        </w:tc>
        <w:tc>
          <w:tcPr>
            <w:tcW w:w="3474" w:type="dxa"/>
          </w:tcPr>
          <w:p w:rsidR="00D5001B" w:rsidRDefault="00D5001B" w:rsidP="00507C0C">
            <w:pPr>
              <w:widowControl/>
              <w:spacing w:line="360" w:lineRule="auto"/>
              <w:jc w:val="center"/>
              <w:cnfStyle w:val="000000100000"/>
              <w:rPr>
                <w:rFonts w:ascii="宋体" w:hAnsi="宋体" w:cs="Arial"/>
                <w:kern w:val="0"/>
                <w:szCs w:val="21"/>
              </w:rPr>
            </w:pPr>
            <w:r>
              <w:rPr>
                <w:rFonts w:ascii="宋体" w:hAnsi="宋体" w:cs="Arial" w:hint="eastAsia"/>
                <w:kern w:val="0"/>
                <w:szCs w:val="21"/>
              </w:rPr>
              <w:t>2940</w:t>
            </w:r>
          </w:p>
        </w:tc>
        <w:tc>
          <w:tcPr>
            <w:tcW w:w="3474" w:type="dxa"/>
          </w:tcPr>
          <w:p w:rsidR="00D5001B" w:rsidRDefault="00D5001B" w:rsidP="009D7531">
            <w:pPr>
              <w:widowControl/>
              <w:spacing w:line="360" w:lineRule="auto"/>
              <w:jc w:val="center"/>
              <w:cnfStyle w:val="000000100000"/>
              <w:rPr>
                <w:rFonts w:ascii="宋体" w:hAnsi="宋体" w:cs="Arial"/>
                <w:kern w:val="0"/>
                <w:szCs w:val="21"/>
              </w:rPr>
            </w:pPr>
            <w:r>
              <w:rPr>
                <w:rFonts w:ascii="宋体" w:hAnsi="宋体" w:cs="Arial" w:hint="eastAsia"/>
                <w:kern w:val="0"/>
                <w:szCs w:val="21"/>
              </w:rPr>
              <w:t>2760</w:t>
            </w:r>
          </w:p>
        </w:tc>
      </w:tr>
      <w:tr w:rsidR="00D5001B" w:rsidTr="00443C09">
        <w:trPr>
          <w:cnfStyle w:val="000000010000"/>
        </w:trPr>
        <w:tc>
          <w:tcPr>
            <w:cnfStyle w:val="001000000000"/>
            <w:tcW w:w="3474" w:type="dxa"/>
          </w:tcPr>
          <w:p w:rsidR="00D5001B" w:rsidRDefault="00D5001B"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D5001B" w:rsidRDefault="00D5001B"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2730</w:t>
            </w:r>
          </w:p>
        </w:tc>
        <w:tc>
          <w:tcPr>
            <w:tcW w:w="3474" w:type="dxa"/>
          </w:tcPr>
          <w:p w:rsidR="00D5001B" w:rsidRDefault="00D5001B" w:rsidP="009D7531">
            <w:pPr>
              <w:widowControl/>
              <w:spacing w:line="360" w:lineRule="auto"/>
              <w:jc w:val="center"/>
              <w:cnfStyle w:val="000000010000"/>
              <w:rPr>
                <w:rFonts w:ascii="宋体" w:hAnsi="宋体" w:cs="Arial"/>
                <w:kern w:val="0"/>
                <w:szCs w:val="21"/>
              </w:rPr>
            </w:pPr>
            <w:r>
              <w:rPr>
                <w:rFonts w:ascii="宋体" w:hAnsi="宋体" w:cs="Arial" w:hint="eastAsia"/>
                <w:kern w:val="0"/>
                <w:szCs w:val="21"/>
              </w:rPr>
              <w:t>2570</w:t>
            </w:r>
          </w:p>
        </w:tc>
      </w:tr>
      <w:tr w:rsidR="00D5001B" w:rsidTr="00443C09">
        <w:trPr>
          <w:cnfStyle w:val="000000100000"/>
        </w:trPr>
        <w:tc>
          <w:tcPr>
            <w:cnfStyle w:val="001000000000"/>
            <w:tcW w:w="3474" w:type="dxa"/>
          </w:tcPr>
          <w:p w:rsidR="00D5001B" w:rsidRDefault="00D5001B"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D5001B" w:rsidRDefault="00D5001B" w:rsidP="00450246">
            <w:pPr>
              <w:widowControl/>
              <w:spacing w:line="360" w:lineRule="auto"/>
              <w:jc w:val="center"/>
              <w:cnfStyle w:val="000000100000"/>
              <w:rPr>
                <w:rFonts w:ascii="宋体" w:hAnsi="宋体" w:cs="Arial"/>
                <w:kern w:val="0"/>
                <w:szCs w:val="21"/>
              </w:rPr>
            </w:pPr>
            <w:r>
              <w:rPr>
                <w:rFonts w:ascii="宋体" w:hAnsi="宋体" w:cs="Arial" w:hint="eastAsia"/>
                <w:kern w:val="0"/>
                <w:szCs w:val="21"/>
              </w:rPr>
              <w:t>2430</w:t>
            </w:r>
          </w:p>
        </w:tc>
        <w:tc>
          <w:tcPr>
            <w:tcW w:w="3474" w:type="dxa"/>
          </w:tcPr>
          <w:p w:rsidR="00D5001B" w:rsidRDefault="00D5001B" w:rsidP="009D7531">
            <w:pPr>
              <w:widowControl/>
              <w:spacing w:line="360" w:lineRule="auto"/>
              <w:jc w:val="center"/>
              <w:cnfStyle w:val="000000100000"/>
              <w:rPr>
                <w:rFonts w:ascii="宋体" w:hAnsi="宋体" w:cs="Arial"/>
                <w:kern w:val="0"/>
                <w:szCs w:val="21"/>
              </w:rPr>
            </w:pPr>
            <w:r>
              <w:rPr>
                <w:rFonts w:ascii="宋体" w:hAnsi="宋体" w:cs="Arial" w:hint="eastAsia"/>
                <w:kern w:val="0"/>
                <w:szCs w:val="21"/>
              </w:rPr>
              <w:t>2300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从区域价差以及基差情况来看，</w:t>
      </w:r>
      <w:r w:rsidR="00567BBE">
        <w:rPr>
          <w:rFonts w:ascii="宋体" w:hAnsi="宋体" w:cs="Arial" w:hint="eastAsia"/>
          <w:kern w:val="0"/>
          <w:szCs w:val="21"/>
        </w:rPr>
        <w:t>江苏山东价差</w:t>
      </w:r>
      <w:r w:rsidR="00D5001B">
        <w:rPr>
          <w:rFonts w:ascii="宋体" w:hAnsi="宋体" w:cs="Arial" w:hint="eastAsia"/>
          <w:kern w:val="0"/>
          <w:szCs w:val="21"/>
        </w:rPr>
        <w:t>在200元以内</w:t>
      </w:r>
      <w:r w:rsidR="000C2E69">
        <w:rPr>
          <w:rFonts w:ascii="宋体" w:hAnsi="宋体" w:cs="Arial" w:hint="eastAsia"/>
          <w:kern w:val="0"/>
          <w:szCs w:val="21"/>
        </w:rPr>
        <w:t>，</w:t>
      </w:r>
      <w:r w:rsidR="00A7206A">
        <w:rPr>
          <w:rFonts w:ascii="宋体" w:hAnsi="宋体" w:cs="Arial" w:hint="eastAsia"/>
          <w:kern w:val="0"/>
          <w:szCs w:val="21"/>
        </w:rPr>
        <w:t>江苏内蒙价差在400附近</w:t>
      </w:r>
      <w:r w:rsidR="00C62DB2">
        <w:rPr>
          <w:rFonts w:ascii="宋体" w:hAnsi="宋体" w:cs="Arial" w:hint="eastAsia"/>
          <w:kern w:val="0"/>
          <w:szCs w:val="21"/>
        </w:rPr>
        <w:t>，</w:t>
      </w:r>
      <w:r w:rsidR="00A7206A">
        <w:rPr>
          <w:rFonts w:ascii="宋体" w:hAnsi="宋体" w:cs="Arial" w:hint="eastAsia"/>
          <w:kern w:val="0"/>
          <w:szCs w:val="21"/>
        </w:rPr>
        <w:t>华东华南价差减小至0元附近，基差为正向结构，目前无区域套利及期现套利机会</w:t>
      </w:r>
      <w:r w:rsidR="00B37C32">
        <w:rPr>
          <w:rFonts w:ascii="宋体" w:hAnsi="宋体" w:cs="Arial" w:hint="eastAsia"/>
          <w:kern w:val="0"/>
          <w:szCs w:val="21"/>
        </w:rPr>
        <w:t>。</w:t>
      </w:r>
    </w:p>
    <w:p w:rsidR="0029112E" w:rsidRDefault="00D5001B" w:rsidP="001D5409">
      <w:pPr>
        <w:widowControl/>
        <w:spacing w:line="360" w:lineRule="auto"/>
        <w:jc w:val="left"/>
        <w:rPr>
          <w:rFonts w:ascii="宋体" w:hAnsi="宋体" w:cs="Arial"/>
          <w:kern w:val="0"/>
          <w:szCs w:val="21"/>
        </w:rPr>
      </w:pPr>
      <w:r w:rsidRPr="00D5001B">
        <w:rPr>
          <w:rFonts w:ascii="宋体" w:hAnsi="宋体" w:cs="Arial"/>
          <w:kern w:val="0"/>
          <w:szCs w:val="21"/>
        </w:rPr>
        <w:drawing>
          <wp:inline distT="0" distB="0" distL="0" distR="0">
            <wp:extent cx="6381750" cy="2854025"/>
            <wp:effectExtent l="19050" t="0" r="0" b="0"/>
            <wp:docPr id="3" name="图片 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6383841" cy="2854960"/>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A7206A" w:rsidTr="00682AB2">
        <w:trPr>
          <w:cnfStyle w:val="000000100000"/>
        </w:trPr>
        <w:tc>
          <w:tcPr>
            <w:cnfStyle w:val="001000000000"/>
            <w:tcW w:w="3474" w:type="dxa"/>
          </w:tcPr>
          <w:p w:rsidR="00A7206A" w:rsidRDefault="00A7206A"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A7206A" w:rsidRDefault="00A7206A" w:rsidP="002821C5">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55.9</w:t>
            </w:r>
          </w:p>
        </w:tc>
        <w:tc>
          <w:tcPr>
            <w:tcW w:w="3474" w:type="dxa"/>
          </w:tcPr>
          <w:p w:rsidR="00A7206A" w:rsidRDefault="00A7206A" w:rsidP="009D7531">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58</w:t>
            </w:r>
          </w:p>
        </w:tc>
      </w:tr>
      <w:tr w:rsidR="00A7206A" w:rsidTr="00682AB2">
        <w:trPr>
          <w:cnfStyle w:val="000000010000"/>
        </w:trPr>
        <w:tc>
          <w:tcPr>
            <w:cnfStyle w:val="001000000000"/>
            <w:tcW w:w="3474" w:type="dxa"/>
          </w:tcPr>
          <w:p w:rsidR="00A7206A" w:rsidRDefault="00A7206A"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A7206A" w:rsidRDefault="00A7206A"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8.9</w:t>
            </w:r>
          </w:p>
        </w:tc>
        <w:tc>
          <w:tcPr>
            <w:tcW w:w="3474" w:type="dxa"/>
          </w:tcPr>
          <w:p w:rsidR="00A7206A" w:rsidRDefault="00A7206A" w:rsidP="009D7531">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10.7</w:t>
            </w:r>
          </w:p>
        </w:tc>
      </w:tr>
      <w:tr w:rsidR="00A7206A" w:rsidTr="00682AB2">
        <w:trPr>
          <w:cnfStyle w:val="000000100000"/>
        </w:trPr>
        <w:tc>
          <w:tcPr>
            <w:cnfStyle w:val="001000000000"/>
            <w:tcW w:w="3474" w:type="dxa"/>
          </w:tcPr>
          <w:p w:rsidR="00A7206A" w:rsidRDefault="00A7206A"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A7206A" w:rsidRDefault="00A7206A" w:rsidP="0013625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18.22</w:t>
            </w:r>
          </w:p>
        </w:tc>
        <w:tc>
          <w:tcPr>
            <w:tcW w:w="3474" w:type="dxa"/>
          </w:tcPr>
          <w:p w:rsidR="00A7206A" w:rsidRDefault="00A7206A" w:rsidP="009D7531">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16.18</w:t>
            </w:r>
          </w:p>
        </w:tc>
      </w:tr>
      <w:tr w:rsidR="00A7206A" w:rsidTr="00682AB2">
        <w:trPr>
          <w:cnfStyle w:val="000000010000"/>
        </w:trPr>
        <w:tc>
          <w:tcPr>
            <w:cnfStyle w:val="001000000000"/>
            <w:tcW w:w="3474" w:type="dxa"/>
          </w:tcPr>
          <w:p w:rsidR="00A7206A" w:rsidRDefault="00A7206A"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A7206A" w:rsidRDefault="00A7206A" w:rsidP="007A6035">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83.02</w:t>
            </w:r>
          </w:p>
        </w:tc>
        <w:tc>
          <w:tcPr>
            <w:tcW w:w="3474" w:type="dxa"/>
          </w:tcPr>
          <w:p w:rsidR="00A7206A" w:rsidRDefault="00A7206A" w:rsidP="009D7531">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84.88</w:t>
            </w:r>
          </w:p>
        </w:tc>
      </w:tr>
    </w:tbl>
    <w:p w:rsidR="00443C09" w:rsidRDefault="00A7206A" w:rsidP="00E8496D">
      <w:pPr>
        <w:widowControl/>
        <w:spacing w:line="360" w:lineRule="auto"/>
        <w:jc w:val="left"/>
        <w:rPr>
          <w:rFonts w:ascii="宋体" w:hAnsi="宋体" w:cs="Arial"/>
          <w:kern w:val="0"/>
          <w:szCs w:val="21"/>
        </w:rPr>
      </w:pPr>
      <w:r w:rsidRPr="00A7206A">
        <w:rPr>
          <w:rFonts w:ascii="宋体" w:hAnsi="宋体" w:cs="Arial"/>
          <w:kern w:val="0"/>
          <w:szCs w:val="21"/>
        </w:rPr>
        <w:lastRenderedPageBreak/>
        <w:drawing>
          <wp:inline distT="0" distB="0" distL="0" distR="0">
            <wp:extent cx="6424881" cy="3122763"/>
            <wp:effectExtent l="19050" t="0" r="0" b="0"/>
            <wp:docPr id="5" name="图片 2"/>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6430728" cy="3125605"/>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Pr="00713078" w:rsidRDefault="00EB5B77" w:rsidP="00713078">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t>本周</w:t>
      </w:r>
      <w:r>
        <w:rPr>
          <w:szCs w:val="21"/>
        </w:rPr>
        <w:t>，江苏甲醇库存在</w:t>
      </w:r>
      <w:r>
        <w:rPr>
          <w:rFonts w:ascii="Calibri" w:hAnsi="Calibri" w:cs="Calibri"/>
          <w:szCs w:val="21"/>
        </w:rPr>
        <w:t>55.90</w:t>
      </w:r>
      <w:r>
        <w:rPr>
          <w:szCs w:val="21"/>
        </w:rPr>
        <w:t>万吨（不加连云港地区库存），较上周下降</w:t>
      </w:r>
      <w:r>
        <w:rPr>
          <w:rFonts w:ascii="Calibri" w:hAnsi="Calibri" w:cs="Calibri"/>
          <w:szCs w:val="21"/>
        </w:rPr>
        <w:t>2.10</w:t>
      </w:r>
      <w:r>
        <w:rPr>
          <w:szCs w:val="21"/>
        </w:rPr>
        <w:t>万吨，跌幅在</w:t>
      </w:r>
      <w:r>
        <w:rPr>
          <w:rFonts w:ascii="Calibri" w:hAnsi="Calibri" w:cs="Calibri"/>
          <w:szCs w:val="21"/>
        </w:rPr>
        <w:t>3.62%</w:t>
      </w:r>
      <w:r>
        <w:rPr>
          <w:szCs w:val="21"/>
        </w:rPr>
        <w:t>。其中太仓地区库存继续上涨至</w:t>
      </w:r>
      <w:r>
        <w:rPr>
          <w:rFonts w:ascii="Calibri" w:hAnsi="Calibri" w:cs="Calibri"/>
          <w:szCs w:val="21"/>
        </w:rPr>
        <w:t>19.90</w:t>
      </w:r>
      <w:r>
        <w:rPr>
          <w:szCs w:val="21"/>
        </w:rPr>
        <w:t>万吨，张家港地区库存下降至</w:t>
      </w:r>
      <w:r>
        <w:rPr>
          <w:rFonts w:ascii="Calibri" w:hAnsi="Calibri" w:cs="Calibri"/>
          <w:szCs w:val="21"/>
        </w:rPr>
        <w:t>13.50</w:t>
      </w:r>
      <w:r>
        <w:rPr>
          <w:szCs w:val="21"/>
        </w:rPr>
        <w:t>万吨，江阴地区库存下降至</w:t>
      </w:r>
      <w:r>
        <w:rPr>
          <w:rFonts w:ascii="Calibri" w:hAnsi="Calibri" w:cs="Calibri"/>
          <w:szCs w:val="21"/>
        </w:rPr>
        <w:t>2.20</w:t>
      </w:r>
      <w:r>
        <w:rPr>
          <w:szCs w:val="21"/>
        </w:rPr>
        <w:t>万吨附近，常州地区库存基本持平在</w:t>
      </w:r>
      <w:r>
        <w:rPr>
          <w:rFonts w:ascii="Calibri" w:hAnsi="Calibri" w:cs="Calibri"/>
          <w:szCs w:val="21"/>
        </w:rPr>
        <w:t>6.90</w:t>
      </w:r>
      <w:r>
        <w:rPr>
          <w:szCs w:val="21"/>
        </w:rPr>
        <w:t>万吨，南通地区库存下降至</w:t>
      </w:r>
      <w:r>
        <w:rPr>
          <w:rFonts w:ascii="Calibri" w:hAnsi="Calibri" w:cs="Calibri"/>
          <w:szCs w:val="21"/>
        </w:rPr>
        <w:t>4.10</w:t>
      </w:r>
      <w:r>
        <w:rPr>
          <w:szCs w:val="21"/>
        </w:rPr>
        <w:t>万吨。周内浙江地区下游工厂稳定从太仓等地拿货，张家港和太仓地区船运、汽运货源稳定发货去往浙江区域，而内地货源仍多以前期订货的合约货源发往常州、江阴和南京等地库区。本周太仓整体提货量相对一般，周后期走货略有缓解。另外江苏多数交割库区预报交割的交割货源多提前平仓解锁，所以江苏多数交割库的交割货源所剩寥寥。目前整体江苏可流通甲醇货源增加至</w:t>
      </w:r>
      <w:r>
        <w:rPr>
          <w:rFonts w:ascii="Calibri" w:hAnsi="Calibri" w:cs="Calibri"/>
          <w:szCs w:val="21"/>
        </w:rPr>
        <w:t>7.80</w:t>
      </w:r>
      <w:r>
        <w:rPr>
          <w:szCs w:val="21"/>
        </w:rPr>
        <w:t>万吨。</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3650E2" w:rsidP="001D5409">
      <w:pPr>
        <w:widowControl/>
        <w:spacing w:line="360" w:lineRule="auto"/>
        <w:jc w:val="left"/>
        <w:rPr>
          <w:rFonts w:ascii="宋体" w:hAnsi="宋体" w:cs="Arial"/>
          <w:b/>
          <w:color w:val="0070C0"/>
          <w:kern w:val="0"/>
          <w:sz w:val="28"/>
          <w:szCs w:val="28"/>
        </w:rPr>
      </w:pPr>
      <w:r w:rsidRPr="003650E2">
        <w:rPr>
          <w:rFonts w:ascii="宋体" w:hAnsi="宋体" w:cs="Arial"/>
          <w:b/>
          <w:color w:val="0070C0"/>
          <w:kern w:val="0"/>
          <w:sz w:val="28"/>
          <w:szCs w:val="28"/>
        </w:rPr>
        <w:drawing>
          <wp:inline distT="0" distB="0" distL="0" distR="0">
            <wp:extent cx="3189976" cy="2000049"/>
            <wp:effectExtent l="19050" t="0" r="0" b="0"/>
            <wp:docPr id="6" name="图片 3"/>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a:stretch>
                      <a:fillRect/>
                    </a:stretch>
                  </pic:blipFill>
                  <pic:spPr>
                    <a:xfrm>
                      <a:off x="0" y="0"/>
                      <a:ext cx="3189128" cy="1999517"/>
                    </a:xfrm>
                    <a:prstGeom prst="rect">
                      <a:avLst/>
                    </a:prstGeom>
                  </pic:spPr>
                </pic:pic>
              </a:graphicData>
            </a:graphic>
          </wp:inline>
        </w:drawing>
      </w:r>
      <w:r w:rsidR="004B2AF7" w:rsidRPr="004B2AF7">
        <w:rPr>
          <w:rFonts w:ascii="宋体" w:hAnsi="宋体" w:cs="Arial"/>
          <w:b/>
          <w:color w:val="0070C0"/>
          <w:kern w:val="0"/>
          <w:sz w:val="28"/>
          <w:szCs w:val="28"/>
        </w:rPr>
        <w:drawing>
          <wp:inline distT="0" distB="0" distL="0" distR="0">
            <wp:extent cx="3051952" cy="2001328"/>
            <wp:effectExtent l="19050" t="0" r="0" b="0"/>
            <wp:docPr id="8" name="图片 4"/>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3058152" cy="2005394"/>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4B2AF7" w:rsidP="002C37ED">
      <w:pPr>
        <w:widowControl/>
        <w:spacing w:line="360" w:lineRule="auto"/>
        <w:ind w:firstLineChars="200" w:firstLine="420"/>
        <w:jc w:val="left"/>
        <w:rPr>
          <w:rFonts w:ascii="宋体" w:hAnsi="宋体" w:cs="Arial"/>
          <w:kern w:val="0"/>
          <w:szCs w:val="21"/>
        </w:rPr>
      </w:pPr>
      <w:r>
        <w:rPr>
          <w:szCs w:val="21"/>
        </w:rPr>
        <w:lastRenderedPageBreak/>
        <w:t>本周，外盘甲醇价格继续飞涨，周内固定价成交放量增多。受到国外重要甲醇装置检修支撑，业者纷纷预期后期供应紧缺，故主动递盘增多，而有货者相应推高报盘至</w:t>
      </w:r>
      <w:r>
        <w:rPr>
          <w:szCs w:val="21"/>
        </w:rPr>
        <w:t>355</w:t>
      </w:r>
      <w:r>
        <w:rPr>
          <w:szCs w:val="21"/>
        </w:rPr>
        <w:t>美元</w:t>
      </w:r>
      <w:r>
        <w:rPr>
          <w:szCs w:val="21"/>
        </w:rPr>
        <w:t>/</w:t>
      </w:r>
      <w:r>
        <w:rPr>
          <w:szCs w:val="21"/>
        </w:rPr>
        <w:t>吨（</w:t>
      </w:r>
      <w:r>
        <w:rPr>
          <w:szCs w:val="21"/>
        </w:rPr>
        <w:t>9</w:t>
      </w:r>
      <w:r>
        <w:rPr>
          <w:szCs w:val="21"/>
        </w:rPr>
        <w:t>月底到港以及</w:t>
      </w:r>
      <w:r>
        <w:rPr>
          <w:szCs w:val="21"/>
        </w:rPr>
        <w:t>9</w:t>
      </w:r>
      <w:r>
        <w:rPr>
          <w:szCs w:val="21"/>
        </w:rPr>
        <w:t>月底装港的进口船货），周初少数</w:t>
      </w:r>
      <w:r>
        <w:rPr>
          <w:szCs w:val="21"/>
        </w:rPr>
        <w:t>9</w:t>
      </w:r>
      <w:r>
        <w:rPr>
          <w:szCs w:val="21"/>
        </w:rPr>
        <w:t>月下旬装港的中东非伊朗船货成交在</w:t>
      </w:r>
      <w:r>
        <w:rPr>
          <w:szCs w:val="21"/>
        </w:rPr>
        <w:t>345</w:t>
      </w:r>
      <w:r>
        <w:rPr>
          <w:szCs w:val="21"/>
        </w:rPr>
        <w:t>美元</w:t>
      </w:r>
      <w:r>
        <w:rPr>
          <w:szCs w:val="21"/>
        </w:rPr>
        <w:t>/</w:t>
      </w:r>
      <w:r>
        <w:rPr>
          <w:szCs w:val="21"/>
        </w:rPr>
        <w:t>吨（</w:t>
      </w:r>
      <w:r>
        <w:rPr>
          <w:szCs w:val="21"/>
        </w:rPr>
        <w:t>5000</w:t>
      </w:r>
      <w:r>
        <w:rPr>
          <w:szCs w:val="21"/>
        </w:rPr>
        <w:t>吨），</w:t>
      </w:r>
      <w:r>
        <w:rPr>
          <w:szCs w:val="21"/>
        </w:rPr>
        <w:t>9</w:t>
      </w:r>
      <w:r>
        <w:rPr>
          <w:szCs w:val="21"/>
        </w:rPr>
        <w:t>月底装港的中东非伊朗船货成交在</w:t>
      </w:r>
      <w:r>
        <w:rPr>
          <w:szCs w:val="21"/>
        </w:rPr>
        <w:t>357</w:t>
      </w:r>
      <w:r>
        <w:rPr>
          <w:szCs w:val="21"/>
        </w:rPr>
        <w:t>美元</w:t>
      </w:r>
      <w:r>
        <w:rPr>
          <w:szCs w:val="21"/>
        </w:rPr>
        <w:t>/</w:t>
      </w:r>
      <w:r>
        <w:rPr>
          <w:szCs w:val="21"/>
        </w:rPr>
        <w:t>吨（</w:t>
      </w:r>
      <w:r>
        <w:rPr>
          <w:szCs w:val="21"/>
        </w:rPr>
        <w:t>5000</w:t>
      </w:r>
      <w:r>
        <w:rPr>
          <w:szCs w:val="21"/>
        </w:rPr>
        <w:t>吨），另有</w:t>
      </w:r>
      <w:r>
        <w:rPr>
          <w:szCs w:val="21"/>
        </w:rPr>
        <w:t>9</w:t>
      </w:r>
      <w:r>
        <w:rPr>
          <w:szCs w:val="21"/>
        </w:rPr>
        <w:t>月底装港的非伊朗船货成交在</w:t>
      </w:r>
      <w:r>
        <w:rPr>
          <w:szCs w:val="21"/>
        </w:rPr>
        <w:t>350</w:t>
      </w:r>
      <w:r>
        <w:rPr>
          <w:szCs w:val="21"/>
        </w:rPr>
        <w:t>美元</w:t>
      </w:r>
      <w:r>
        <w:rPr>
          <w:szCs w:val="21"/>
        </w:rPr>
        <w:t>/</w:t>
      </w:r>
      <w:r>
        <w:rPr>
          <w:szCs w:val="21"/>
        </w:rPr>
        <w:t>吨（</w:t>
      </w:r>
      <w:r>
        <w:rPr>
          <w:szCs w:val="21"/>
        </w:rPr>
        <w:t>5000-8000</w:t>
      </w:r>
      <w:r>
        <w:rPr>
          <w:szCs w:val="21"/>
        </w:rPr>
        <w:t>吨），虽然周中开始，买家固定价递盘提升至</w:t>
      </w:r>
      <w:r>
        <w:rPr>
          <w:szCs w:val="21"/>
        </w:rPr>
        <w:t>350-355</w:t>
      </w:r>
      <w:r>
        <w:rPr>
          <w:szCs w:val="21"/>
        </w:rPr>
        <w:t>美元</w:t>
      </w:r>
      <w:r>
        <w:rPr>
          <w:szCs w:val="21"/>
        </w:rPr>
        <w:t>/</w:t>
      </w:r>
      <w:r>
        <w:rPr>
          <w:szCs w:val="21"/>
        </w:rPr>
        <w:t>吨，但有货者捂货惜售或者封盘观望。少数有货者固定价报盘在</w:t>
      </w:r>
      <w:r>
        <w:rPr>
          <w:szCs w:val="21"/>
        </w:rPr>
        <w:t>360-370</w:t>
      </w:r>
      <w:r>
        <w:rPr>
          <w:szCs w:val="21"/>
        </w:rPr>
        <w:t>美元</w:t>
      </w:r>
      <w:r>
        <w:rPr>
          <w:szCs w:val="21"/>
        </w:rPr>
        <w:t>/</w:t>
      </w:r>
      <w:r>
        <w:rPr>
          <w:szCs w:val="21"/>
        </w:rPr>
        <w:t>吨，周中少数</w:t>
      </w:r>
      <w:r>
        <w:rPr>
          <w:szCs w:val="21"/>
        </w:rPr>
        <w:t>9</w:t>
      </w:r>
      <w:r>
        <w:rPr>
          <w:szCs w:val="21"/>
        </w:rPr>
        <w:t>月份装港的非伊朗（南美洲）船货成交走高至</w:t>
      </w:r>
      <w:r>
        <w:rPr>
          <w:szCs w:val="21"/>
        </w:rPr>
        <w:t>360</w:t>
      </w:r>
      <w:r>
        <w:rPr>
          <w:szCs w:val="21"/>
        </w:rPr>
        <w:t>美元</w:t>
      </w:r>
      <w:r>
        <w:rPr>
          <w:szCs w:val="21"/>
        </w:rPr>
        <w:t>/</w:t>
      </w:r>
      <w:r>
        <w:rPr>
          <w:szCs w:val="21"/>
        </w:rPr>
        <w:t>吨（</w:t>
      </w:r>
      <w:r>
        <w:rPr>
          <w:szCs w:val="21"/>
        </w:rPr>
        <w:t>5000</w:t>
      </w:r>
      <w:r>
        <w:rPr>
          <w:szCs w:val="21"/>
        </w:rPr>
        <w:t>吨）。公式价方面，周内少数</w:t>
      </w:r>
      <w:r>
        <w:rPr>
          <w:szCs w:val="21"/>
        </w:rPr>
        <w:t>9</w:t>
      </w:r>
      <w:r>
        <w:rPr>
          <w:szCs w:val="21"/>
        </w:rPr>
        <w:t>月任意时间装港的中东非伊朗船货公式价成交在</w:t>
      </w:r>
      <w:r>
        <w:rPr>
          <w:szCs w:val="21"/>
        </w:rPr>
        <w:t>+4%</w:t>
      </w:r>
      <w:r>
        <w:rPr>
          <w:szCs w:val="21"/>
        </w:rPr>
        <w:t>（</w:t>
      </w:r>
      <w:r>
        <w:rPr>
          <w:szCs w:val="21"/>
        </w:rPr>
        <w:t>5000</w:t>
      </w:r>
      <w:r>
        <w:rPr>
          <w:szCs w:val="21"/>
        </w:rPr>
        <w:t>吨），仍有</w:t>
      </w:r>
      <w:r>
        <w:rPr>
          <w:szCs w:val="21"/>
        </w:rPr>
        <w:t>10</w:t>
      </w:r>
      <w:r>
        <w:rPr>
          <w:szCs w:val="21"/>
        </w:rPr>
        <w:t>月份到港的伊朗船货成交在</w:t>
      </w:r>
      <w:r>
        <w:rPr>
          <w:szCs w:val="21"/>
        </w:rPr>
        <w:t>+4%</w:t>
      </w:r>
      <w:r>
        <w:rPr>
          <w:szCs w:val="21"/>
        </w:rPr>
        <w:t>（</w:t>
      </w:r>
      <w:r>
        <w:rPr>
          <w:szCs w:val="21"/>
        </w:rPr>
        <w:t>20000</w:t>
      </w:r>
      <w:r>
        <w:rPr>
          <w:szCs w:val="21"/>
        </w:rPr>
        <w:t>吨），有货者均高挺报盘在</w:t>
      </w:r>
      <w:r>
        <w:rPr>
          <w:szCs w:val="21"/>
        </w:rPr>
        <w:t>+5%</w:t>
      </w:r>
      <w:r>
        <w:rPr>
          <w:szCs w:val="21"/>
        </w:rPr>
        <w:t>。整体来看货紧价扬，</w:t>
      </w:r>
      <w:r>
        <w:rPr>
          <w:szCs w:val="21"/>
        </w:rPr>
        <w:t>9</w:t>
      </w:r>
      <w:r>
        <w:rPr>
          <w:szCs w:val="21"/>
        </w:rPr>
        <w:t>月份装港</w:t>
      </w:r>
      <w:r>
        <w:rPr>
          <w:szCs w:val="21"/>
        </w:rPr>
        <w:t>10</w:t>
      </w:r>
      <w:r>
        <w:rPr>
          <w:szCs w:val="21"/>
        </w:rPr>
        <w:t>月份到港的进口船货固定价整体成交重心大幅拉高且多为重要外商和港口贸易商补空交合约。</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4B2AF7" w:rsidTr="0029112E">
        <w:trPr>
          <w:cnfStyle w:val="000000100000"/>
        </w:trPr>
        <w:tc>
          <w:tcPr>
            <w:cnfStyle w:val="001000000000"/>
            <w:tcW w:w="3474" w:type="dxa"/>
          </w:tcPr>
          <w:p w:rsidR="004B2AF7" w:rsidRDefault="004B2AF7"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4B2AF7" w:rsidRDefault="004B2AF7" w:rsidP="007A2F2F">
            <w:pPr>
              <w:widowControl/>
              <w:spacing w:line="360" w:lineRule="auto"/>
              <w:jc w:val="center"/>
              <w:cnfStyle w:val="000000100000"/>
              <w:rPr>
                <w:rFonts w:ascii="宋体" w:hAnsi="宋体" w:cs="Arial"/>
                <w:kern w:val="0"/>
                <w:szCs w:val="21"/>
              </w:rPr>
            </w:pPr>
            <w:r>
              <w:rPr>
                <w:rFonts w:ascii="宋体" w:hAnsi="宋体" w:cs="Arial" w:hint="eastAsia"/>
                <w:kern w:val="0"/>
                <w:szCs w:val="21"/>
              </w:rPr>
              <w:t>348</w:t>
            </w:r>
          </w:p>
        </w:tc>
        <w:tc>
          <w:tcPr>
            <w:tcW w:w="3474" w:type="dxa"/>
          </w:tcPr>
          <w:p w:rsidR="004B2AF7" w:rsidRDefault="004B2AF7" w:rsidP="009D7531">
            <w:pPr>
              <w:widowControl/>
              <w:spacing w:line="360" w:lineRule="auto"/>
              <w:jc w:val="center"/>
              <w:cnfStyle w:val="000000100000"/>
              <w:rPr>
                <w:rFonts w:ascii="宋体" w:hAnsi="宋体" w:cs="Arial"/>
                <w:kern w:val="0"/>
                <w:szCs w:val="21"/>
              </w:rPr>
            </w:pPr>
            <w:r>
              <w:rPr>
                <w:rFonts w:ascii="宋体" w:hAnsi="宋体" w:cs="Arial" w:hint="eastAsia"/>
                <w:kern w:val="0"/>
                <w:szCs w:val="21"/>
              </w:rPr>
              <w:t>324</w:t>
            </w:r>
          </w:p>
        </w:tc>
      </w:tr>
      <w:tr w:rsidR="004B2AF7" w:rsidTr="0029112E">
        <w:trPr>
          <w:cnfStyle w:val="000000010000"/>
        </w:trPr>
        <w:tc>
          <w:tcPr>
            <w:cnfStyle w:val="001000000000"/>
            <w:tcW w:w="3474" w:type="dxa"/>
          </w:tcPr>
          <w:p w:rsidR="004B2AF7" w:rsidRDefault="004B2AF7"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4B2AF7" w:rsidRDefault="004B2AF7" w:rsidP="007876E4">
            <w:pPr>
              <w:widowControl/>
              <w:spacing w:line="360" w:lineRule="auto"/>
              <w:jc w:val="center"/>
              <w:cnfStyle w:val="000000010000"/>
              <w:rPr>
                <w:rFonts w:ascii="宋体" w:hAnsi="宋体" w:cs="Arial"/>
                <w:kern w:val="0"/>
                <w:szCs w:val="21"/>
              </w:rPr>
            </w:pPr>
            <w:r>
              <w:rPr>
                <w:rFonts w:ascii="宋体" w:hAnsi="宋体" w:cs="Arial" w:hint="eastAsia"/>
                <w:kern w:val="0"/>
                <w:szCs w:val="21"/>
              </w:rPr>
              <w:t>346</w:t>
            </w:r>
          </w:p>
        </w:tc>
        <w:tc>
          <w:tcPr>
            <w:tcW w:w="3474" w:type="dxa"/>
          </w:tcPr>
          <w:p w:rsidR="004B2AF7" w:rsidRDefault="004B2AF7" w:rsidP="009D7531">
            <w:pPr>
              <w:widowControl/>
              <w:spacing w:line="360" w:lineRule="auto"/>
              <w:jc w:val="center"/>
              <w:cnfStyle w:val="000000010000"/>
              <w:rPr>
                <w:rFonts w:ascii="宋体" w:hAnsi="宋体" w:cs="Arial"/>
                <w:kern w:val="0"/>
                <w:szCs w:val="21"/>
              </w:rPr>
            </w:pPr>
            <w:r>
              <w:rPr>
                <w:rFonts w:ascii="宋体" w:hAnsi="宋体" w:cs="Arial" w:hint="eastAsia"/>
                <w:kern w:val="0"/>
                <w:szCs w:val="21"/>
              </w:rPr>
              <w:t>321</w:t>
            </w:r>
          </w:p>
        </w:tc>
      </w:tr>
      <w:tr w:rsidR="004B2AF7" w:rsidTr="0029112E">
        <w:trPr>
          <w:cnfStyle w:val="000000100000"/>
        </w:trPr>
        <w:tc>
          <w:tcPr>
            <w:cnfStyle w:val="001000000000"/>
            <w:tcW w:w="3474" w:type="dxa"/>
          </w:tcPr>
          <w:p w:rsidR="004B2AF7" w:rsidRDefault="004B2AF7"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4B2AF7" w:rsidRDefault="004B2AF7" w:rsidP="00426714">
            <w:pPr>
              <w:widowControl/>
              <w:spacing w:line="360" w:lineRule="auto"/>
              <w:jc w:val="center"/>
              <w:cnfStyle w:val="000000100000"/>
              <w:rPr>
                <w:rFonts w:ascii="宋体" w:hAnsi="宋体" w:cs="Arial"/>
                <w:kern w:val="0"/>
                <w:szCs w:val="21"/>
              </w:rPr>
            </w:pPr>
            <w:r>
              <w:rPr>
                <w:rFonts w:ascii="宋体" w:hAnsi="宋体" w:cs="Arial" w:hint="eastAsia"/>
                <w:kern w:val="0"/>
                <w:szCs w:val="21"/>
              </w:rPr>
              <w:t>324</w:t>
            </w:r>
          </w:p>
        </w:tc>
        <w:tc>
          <w:tcPr>
            <w:tcW w:w="3474" w:type="dxa"/>
          </w:tcPr>
          <w:p w:rsidR="004B2AF7" w:rsidRDefault="004B2AF7" w:rsidP="009D7531">
            <w:pPr>
              <w:widowControl/>
              <w:spacing w:line="360" w:lineRule="auto"/>
              <w:jc w:val="center"/>
              <w:cnfStyle w:val="000000100000"/>
              <w:rPr>
                <w:rFonts w:ascii="宋体" w:hAnsi="宋体" w:cs="Arial"/>
                <w:kern w:val="0"/>
                <w:szCs w:val="21"/>
              </w:rPr>
            </w:pPr>
            <w:r>
              <w:rPr>
                <w:rFonts w:ascii="宋体" w:hAnsi="宋体" w:cs="Arial" w:hint="eastAsia"/>
                <w:kern w:val="0"/>
                <w:szCs w:val="21"/>
              </w:rPr>
              <w:t>341</w:t>
            </w:r>
          </w:p>
        </w:tc>
      </w:tr>
      <w:tr w:rsidR="004B2AF7" w:rsidTr="0029112E">
        <w:trPr>
          <w:cnfStyle w:val="000000010000"/>
        </w:trPr>
        <w:tc>
          <w:tcPr>
            <w:cnfStyle w:val="001000000000"/>
            <w:tcW w:w="3474" w:type="dxa"/>
          </w:tcPr>
          <w:p w:rsidR="004B2AF7" w:rsidRDefault="004B2AF7"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4B2AF7" w:rsidRDefault="004B2AF7" w:rsidP="0033137B">
            <w:pPr>
              <w:widowControl/>
              <w:spacing w:line="360" w:lineRule="auto"/>
              <w:jc w:val="center"/>
              <w:cnfStyle w:val="000000010000"/>
              <w:rPr>
                <w:rFonts w:ascii="宋体" w:hAnsi="宋体" w:cs="Arial"/>
                <w:kern w:val="0"/>
                <w:szCs w:val="21"/>
              </w:rPr>
            </w:pPr>
            <w:r>
              <w:rPr>
                <w:rFonts w:ascii="宋体" w:hAnsi="宋体" w:cs="Arial" w:hint="eastAsia"/>
                <w:kern w:val="0"/>
                <w:szCs w:val="21"/>
              </w:rPr>
              <w:t>269</w:t>
            </w:r>
          </w:p>
        </w:tc>
        <w:tc>
          <w:tcPr>
            <w:tcW w:w="3474" w:type="dxa"/>
          </w:tcPr>
          <w:p w:rsidR="004B2AF7" w:rsidRDefault="004B2AF7" w:rsidP="009D7531">
            <w:pPr>
              <w:widowControl/>
              <w:spacing w:line="360" w:lineRule="auto"/>
              <w:jc w:val="center"/>
              <w:cnfStyle w:val="000000010000"/>
              <w:rPr>
                <w:rFonts w:ascii="宋体" w:hAnsi="宋体" w:cs="Arial"/>
                <w:kern w:val="0"/>
                <w:szCs w:val="21"/>
              </w:rPr>
            </w:pPr>
            <w:r>
              <w:rPr>
                <w:rFonts w:ascii="宋体" w:hAnsi="宋体" w:cs="Arial" w:hint="eastAsia"/>
                <w:kern w:val="0"/>
                <w:szCs w:val="21"/>
              </w:rPr>
              <w:t>269</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4B2AF7" w:rsidP="00685998">
      <w:pPr>
        <w:widowControl/>
        <w:spacing w:line="360" w:lineRule="auto"/>
        <w:jc w:val="left"/>
        <w:rPr>
          <w:rFonts w:ascii="宋体" w:hAnsi="宋体" w:cs="Arial"/>
          <w:kern w:val="0"/>
          <w:szCs w:val="21"/>
        </w:rPr>
      </w:pPr>
      <w:r w:rsidRPr="004B2AF7">
        <w:rPr>
          <w:rFonts w:ascii="宋体" w:hAnsi="宋体" w:cs="Arial"/>
          <w:kern w:val="0"/>
          <w:szCs w:val="21"/>
        </w:rPr>
        <w:drawing>
          <wp:inline distT="0" distB="0" distL="0" distR="0">
            <wp:extent cx="6580158" cy="2766796"/>
            <wp:effectExtent l="19050" t="0" r="0" b="0"/>
            <wp:docPr id="11" name="图片 5"/>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6"/>
                    <a:stretch>
                      <a:fillRect/>
                    </a:stretch>
                  </pic:blipFill>
                  <pic:spPr>
                    <a:xfrm>
                      <a:off x="0" y="0"/>
                      <a:ext cx="6578408" cy="276606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306E41" w:rsidRDefault="006762CA" w:rsidP="00CB2E7C">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C35375">
        <w:rPr>
          <w:rFonts w:ascii="宋体" w:hAnsi="宋体" w:cs="Arial" w:hint="eastAsia"/>
          <w:kern w:val="0"/>
          <w:szCs w:val="21"/>
        </w:rPr>
        <w:t>中美甲醇价差</w:t>
      </w:r>
      <w:r w:rsidR="0037643E">
        <w:rPr>
          <w:rFonts w:ascii="宋体" w:hAnsi="宋体" w:cs="Arial" w:hint="eastAsia"/>
          <w:kern w:val="0"/>
          <w:szCs w:val="21"/>
        </w:rPr>
        <w:t>在</w:t>
      </w:r>
      <w:r w:rsidR="0033137B">
        <w:rPr>
          <w:rFonts w:ascii="宋体" w:hAnsi="宋体" w:cs="Arial" w:hint="eastAsia"/>
          <w:kern w:val="0"/>
          <w:szCs w:val="21"/>
        </w:rPr>
        <w:t>继续</w:t>
      </w:r>
      <w:r w:rsidR="0037643E">
        <w:rPr>
          <w:rFonts w:ascii="宋体" w:hAnsi="宋体" w:cs="Arial" w:hint="eastAsia"/>
          <w:kern w:val="0"/>
          <w:szCs w:val="21"/>
        </w:rPr>
        <w:t>低位徘徊</w:t>
      </w:r>
      <w:r w:rsidR="0033137B">
        <w:rPr>
          <w:rFonts w:ascii="宋体" w:hAnsi="宋体" w:cs="Arial" w:hint="eastAsia"/>
          <w:kern w:val="0"/>
          <w:szCs w:val="21"/>
        </w:rPr>
        <w:t>，</w:t>
      </w:r>
      <w:r w:rsidR="00C35375">
        <w:rPr>
          <w:rFonts w:ascii="宋体" w:hAnsi="宋体" w:cs="Arial" w:hint="eastAsia"/>
          <w:kern w:val="0"/>
          <w:szCs w:val="21"/>
        </w:rPr>
        <w:t>套利窗口</w:t>
      </w:r>
      <w:r w:rsidR="00D3646A">
        <w:rPr>
          <w:rFonts w:ascii="宋体" w:hAnsi="宋体" w:cs="Arial" w:hint="eastAsia"/>
          <w:kern w:val="0"/>
          <w:szCs w:val="21"/>
        </w:rPr>
        <w:t>还未打开</w:t>
      </w:r>
      <w:r w:rsidR="00F95189">
        <w:rPr>
          <w:rFonts w:ascii="宋体" w:hAnsi="宋体" w:cs="Arial" w:hint="eastAsia"/>
          <w:kern w:val="0"/>
          <w:szCs w:val="21"/>
        </w:rPr>
        <w:t>。</w:t>
      </w:r>
    </w:p>
    <w:p w:rsidR="00BD0883" w:rsidRDefault="00306E41" w:rsidP="00306E4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BD0883" w:rsidRPr="00BD0883">
        <w:rPr>
          <w:rFonts w:ascii="宋体" w:hAnsi="宋体" w:cs="Arial" w:hint="eastAsia"/>
          <w:b/>
          <w:color w:val="0070C0"/>
          <w:kern w:val="0"/>
          <w:sz w:val="28"/>
          <w:szCs w:val="28"/>
        </w:rPr>
        <w:t>、</w:t>
      </w:r>
      <w:r>
        <w:rPr>
          <w:rFonts w:ascii="宋体" w:hAnsi="宋体" w:cs="Arial" w:hint="eastAsia"/>
          <w:b/>
          <w:color w:val="0070C0"/>
          <w:kern w:val="0"/>
          <w:sz w:val="28"/>
          <w:szCs w:val="28"/>
        </w:rPr>
        <w:t>开工率</w:t>
      </w:r>
    </w:p>
    <w:p w:rsidR="00306E41" w:rsidRPr="00BD0883" w:rsidRDefault="004B2AF7" w:rsidP="00306E41">
      <w:pPr>
        <w:widowControl/>
        <w:spacing w:line="360" w:lineRule="auto"/>
        <w:jc w:val="left"/>
        <w:rPr>
          <w:rFonts w:ascii="宋体" w:hAnsi="宋体" w:cs="Arial"/>
          <w:b/>
          <w:color w:val="0070C0"/>
          <w:kern w:val="0"/>
          <w:sz w:val="28"/>
          <w:szCs w:val="28"/>
        </w:rPr>
      </w:pPr>
      <w:r w:rsidRPr="004B2AF7">
        <w:rPr>
          <w:rFonts w:ascii="宋体" w:hAnsi="宋体" w:cs="Arial"/>
          <w:b/>
          <w:color w:val="0070C0"/>
          <w:kern w:val="0"/>
          <w:sz w:val="28"/>
          <w:szCs w:val="28"/>
        </w:rPr>
        <w:lastRenderedPageBreak/>
        <w:drawing>
          <wp:inline distT="0" distB="0" distL="0" distR="0">
            <wp:extent cx="6459388" cy="2579298"/>
            <wp:effectExtent l="19050" t="0" r="0" b="0"/>
            <wp:docPr id="18" name="图片 6"/>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6457187" cy="2578419"/>
                    </a:xfrm>
                    <a:prstGeom prst="rect">
                      <a:avLst/>
                    </a:prstGeom>
                  </pic:spPr>
                </pic:pic>
              </a:graphicData>
            </a:graphic>
          </wp:inline>
        </w:drawing>
      </w:r>
    </w:p>
    <w:p w:rsidR="00151A82" w:rsidRDefault="00BD0883" w:rsidP="00306E41">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sidR="004F5A53">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sidR="00306E41">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E4826" w:rsidRDefault="005A0247" w:rsidP="00713078">
      <w:pPr>
        <w:autoSpaceDE w:val="0"/>
        <w:autoSpaceDN w:val="0"/>
        <w:adjustRightInd w:val="0"/>
        <w:spacing w:line="360" w:lineRule="auto"/>
        <w:ind w:firstLineChars="200" w:firstLine="420"/>
        <w:jc w:val="left"/>
        <w:rPr>
          <w:szCs w:val="21"/>
        </w:rPr>
      </w:pPr>
      <w:r>
        <w:rPr>
          <w:rFonts w:hint="eastAsia"/>
          <w:szCs w:val="21"/>
        </w:rPr>
        <w:t>本周</w:t>
      </w:r>
      <w:r>
        <w:rPr>
          <w:szCs w:val="21"/>
        </w:rPr>
        <w:t>，</w:t>
      </w:r>
      <w:r w:rsidR="00495E5E">
        <w:rPr>
          <w:szCs w:val="21"/>
        </w:rPr>
        <w:t>日，国内甲醇整体装置开工负荷为</w:t>
      </w:r>
      <w:r w:rsidR="00495E5E">
        <w:rPr>
          <w:szCs w:val="21"/>
        </w:rPr>
        <w:t>66.85%</w:t>
      </w:r>
      <w:r w:rsidR="00495E5E">
        <w:rPr>
          <w:szCs w:val="21"/>
        </w:rPr>
        <w:t>，环比上涨</w:t>
      </w:r>
      <w:r w:rsidR="00495E5E">
        <w:rPr>
          <w:szCs w:val="21"/>
        </w:rPr>
        <w:t>6.47%</w:t>
      </w:r>
      <w:r w:rsidR="00495E5E">
        <w:rPr>
          <w:szCs w:val="21"/>
        </w:rPr>
        <w:t>；西北地区的开工</w:t>
      </w:r>
      <w:r w:rsidR="00495E5E">
        <w:rPr>
          <w:szCs w:val="21"/>
        </w:rPr>
        <w:t>73.38%</w:t>
      </w:r>
      <w:r w:rsidR="00495E5E">
        <w:rPr>
          <w:szCs w:val="21"/>
        </w:rPr>
        <w:t>，环比上涨</w:t>
      </w:r>
      <w:r w:rsidR="00495E5E">
        <w:rPr>
          <w:szCs w:val="21"/>
        </w:rPr>
        <w:t>5.57%</w:t>
      </w:r>
      <w:r w:rsidR="00495E5E">
        <w:rPr>
          <w:szCs w:val="21"/>
        </w:rPr>
        <w:t>。本周内西北地区由于部分临时停车甲醇装置恢复运行及部分前期检修装置恢复运行，导致西北地区开工率大幅上涨，另外虽然西南地区部分装置停车或者降负运行，但因山东、江苏地区部分检修或降负甲醇装置恢复生产，导致总体国内开工率大幅上涨。</w:t>
      </w:r>
    </w:p>
    <w:tbl>
      <w:tblPr>
        <w:tblStyle w:val="-11"/>
        <w:tblW w:w="0" w:type="auto"/>
        <w:tblLook w:val="04A0"/>
      </w:tblPr>
      <w:tblGrid>
        <w:gridCol w:w="3474"/>
        <w:gridCol w:w="3474"/>
        <w:gridCol w:w="3474"/>
      </w:tblGrid>
      <w:tr w:rsidR="00D357B8" w:rsidTr="00D357B8">
        <w:trPr>
          <w:cnfStyle w:val="100000000000"/>
        </w:trPr>
        <w:tc>
          <w:tcPr>
            <w:cnfStyle w:val="001000000000"/>
            <w:tcW w:w="3474" w:type="dxa"/>
          </w:tcPr>
          <w:p w:rsidR="00D357B8" w:rsidRDefault="00D357B8" w:rsidP="00D357B8">
            <w:pPr>
              <w:autoSpaceDE w:val="0"/>
              <w:autoSpaceDN w:val="0"/>
              <w:adjustRightInd w:val="0"/>
              <w:spacing w:line="360" w:lineRule="auto"/>
              <w:jc w:val="center"/>
              <w:rPr>
                <w:szCs w:val="21"/>
              </w:rPr>
            </w:pPr>
            <w:r>
              <w:rPr>
                <w:rFonts w:hint="eastAsia"/>
                <w:szCs w:val="21"/>
              </w:rPr>
              <w:t>厂家</w:t>
            </w:r>
          </w:p>
        </w:tc>
        <w:tc>
          <w:tcPr>
            <w:tcW w:w="3474" w:type="dxa"/>
          </w:tcPr>
          <w:p w:rsidR="00D357B8" w:rsidRDefault="00D357B8" w:rsidP="00D357B8">
            <w:pPr>
              <w:autoSpaceDE w:val="0"/>
              <w:autoSpaceDN w:val="0"/>
              <w:adjustRightInd w:val="0"/>
              <w:spacing w:line="360" w:lineRule="auto"/>
              <w:jc w:val="center"/>
              <w:cnfStyle w:val="100000000000"/>
              <w:rPr>
                <w:szCs w:val="21"/>
              </w:rPr>
            </w:pPr>
            <w:r>
              <w:rPr>
                <w:rFonts w:hint="eastAsia"/>
                <w:szCs w:val="21"/>
              </w:rPr>
              <w:t>产能</w:t>
            </w:r>
          </w:p>
        </w:tc>
        <w:tc>
          <w:tcPr>
            <w:tcW w:w="3474" w:type="dxa"/>
          </w:tcPr>
          <w:p w:rsidR="00D357B8" w:rsidRDefault="00D357B8" w:rsidP="00D357B8">
            <w:pPr>
              <w:autoSpaceDE w:val="0"/>
              <w:autoSpaceDN w:val="0"/>
              <w:adjustRightInd w:val="0"/>
              <w:spacing w:line="360" w:lineRule="auto"/>
              <w:jc w:val="center"/>
              <w:cnfStyle w:val="100000000000"/>
              <w:rPr>
                <w:szCs w:val="21"/>
              </w:rPr>
            </w:pPr>
            <w:r>
              <w:rPr>
                <w:rFonts w:hint="eastAsia"/>
                <w:szCs w:val="21"/>
              </w:rPr>
              <w:t>装置检修运行动态</w:t>
            </w:r>
          </w:p>
        </w:tc>
      </w:tr>
      <w:tr w:rsidR="00D357B8" w:rsidTr="00D357B8">
        <w:trPr>
          <w:cnfStyle w:val="000000100000"/>
        </w:trPr>
        <w:tc>
          <w:tcPr>
            <w:cnfStyle w:val="001000000000"/>
            <w:tcW w:w="3474" w:type="dxa"/>
          </w:tcPr>
          <w:p w:rsidR="00D357B8" w:rsidRDefault="00D357B8" w:rsidP="00D357B8">
            <w:pPr>
              <w:autoSpaceDE w:val="0"/>
              <w:autoSpaceDN w:val="0"/>
              <w:adjustRightInd w:val="0"/>
              <w:spacing w:line="360" w:lineRule="auto"/>
              <w:jc w:val="center"/>
              <w:rPr>
                <w:szCs w:val="21"/>
              </w:rPr>
            </w:pPr>
            <w:r>
              <w:rPr>
                <w:rFonts w:hint="eastAsia"/>
                <w:szCs w:val="21"/>
              </w:rPr>
              <w:t>内蒙古久泰</w:t>
            </w:r>
          </w:p>
        </w:tc>
        <w:tc>
          <w:tcPr>
            <w:tcW w:w="3474" w:type="dxa"/>
          </w:tcPr>
          <w:p w:rsidR="00D357B8" w:rsidRDefault="00D357B8" w:rsidP="00D357B8">
            <w:pPr>
              <w:autoSpaceDE w:val="0"/>
              <w:autoSpaceDN w:val="0"/>
              <w:adjustRightInd w:val="0"/>
              <w:spacing w:line="360" w:lineRule="auto"/>
              <w:jc w:val="center"/>
              <w:cnfStyle w:val="000000100000"/>
              <w:rPr>
                <w:szCs w:val="21"/>
              </w:rPr>
            </w:pPr>
            <w:r>
              <w:rPr>
                <w:rFonts w:hint="eastAsia"/>
                <w:szCs w:val="21"/>
              </w:rPr>
              <w:t>100</w:t>
            </w:r>
          </w:p>
        </w:tc>
        <w:tc>
          <w:tcPr>
            <w:tcW w:w="3474" w:type="dxa"/>
          </w:tcPr>
          <w:p w:rsidR="00D357B8" w:rsidRPr="00D357B8" w:rsidRDefault="00495E5E" w:rsidP="00495E5E">
            <w:pPr>
              <w:pStyle w:val="Default"/>
              <w:spacing w:before="156"/>
              <w:jc w:val="center"/>
              <w:cnfStyle w:val="000000100000"/>
              <w:rPr>
                <w:sz w:val="21"/>
              </w:rPr>
            </w:pPr>
            <w:r>
              <w:rPr>
                <w:rFonts w:hint="eastAsia"/>
                <w:sz w:val="21"/>
                <w:szCs w:val="21"/>
              </w:rPr>
              <w:t>周末复产</w:t>
            </w:r>
          </w:p>
        </w:tc>
      </w:tr>
      <w:tr w:rsidR="00D357B8" w:rsidTr="00D357B8">
        <w:tc>
          <w:tcPr>
            <w:cnfStyle w:val="001000000000"/>
            <w:tcW w:w="3474" w:type="dxa"/>
          </w:tcPr>
          <w:p w:rsidR="00D357B8" w:rsidRDefault="00D357B8" w:rsidP="00D357B8">
            <w:pPr>
              <w:autoSpaceDE w:val="0"/>
              <w:autoSpaceDN w:val="0"/>
              <w:adjustRightInd w:val="0"/>
              <w:spacing w:line="360" w:lineRule="auto"/>
              <w:jc w:val="center"/>
              <w:rPr>
                <w:szCs w:val="21"/>
              </w:rPr>
            </w:pPr>
            <w:r>
              <w:rPr>
                <w:rFonts w:hint="eastAsia"/>
                <w:szCs w:val="21"/>
              </w:rPr>
              <w:t>金诚泰</w:t>
            </w:r>
          </w:p>
        </w:tc>
        <w:tc>
          <w:tcPr>
            <w:tcW w:w="3474" w:type="dxa"/>
          </w:tcPr>
          <w:p w:rsidR="00D357B8" w:rsidRDefault="00D357B8" w:rsidP="00D357B8">
            <w:pPr>
              <w:autoSpaceDE w:val="0"/>
              <w:autoSpaceDN w:val="0"/>
              <w:adjustRightInd w:val="0"/>
              <w:spacing w:line="360" w:lineRule="auto"/>
              <w:jc w:val="center"/>
              <w:cnfStyle w:val="000000000000"/>
              <w:rPr>
                <w:szCs w:val="21"/>
              </w:rPr>
            </w:pPr>
            <w:r>
              <w:rPr>
                <w:rFonts w:hint="eastAsia"/>
                <w:szCs w:val="21"/>
              </w:rPr>
              <w:t>30</w:t>
            </w:r>
          </w:p>
        </w:tc>
        <w:tc>
          <w:tcPr>
            <w:tcW w:w="3474" w:type="dxa"/>
          </w:tcPr>
          <w:p w:rsidR="00D357B8" w:rsidRPr="00D357B8" w:rsidRDefault="00495E5E" w:rsidP="00D357B8">
            <w:pPr>
              <w:pStyle w:val="Default"/>
              <w:spacing w:before="156"/>
              <w:jc w:val="center"/>
              <w:cnfStyle w:val="000000000000"/>
              <w:rPr>
                <w:sz w:val="21"/>
              </w:rPr>
            </w:pPr>
            <w:r>
              <w:rPr>
                <w:rFonts w:hint="eastAsia"/>
                <w:sz w:val="21"/>
                <w:szCs w:val="21"/>
              </w:rPr>
              <w:t>上周二复产</w:t>
            </w:r>
          </w:p>
        </w:tc>
      </w:tr>
      <w:tr w:rsidR="00D357B8" w:rsidTr="00D357B8">
        <w:trPr>
          <w:cnfStyle w:val="000000100000"/>
        </w:trPr>
        <w:tc>
          <w:tcPr>
            <w:cnfStyle w:val="001000000000"/>
            <w:tcW w:w="3474" w:type="dxa"/>
          </w:tcPr>
          <w:p w:rsidR="00D357B8" w:rsidRPr="00D357B8" w:rsidRDefault="00D357B8" w:rsidP="00D357B8">
            <w:pPr>
              <w:pStyle w:val="Default"/>
              <w:spacing w:before="156"/>
              <w:jc w:val="center"/>
              <w:rPr>
                <w:sz w:val="21"/>
              </w:rPr>
            </w:pPr>
            <w:r>
              <w:rPr>
                <w:rFonts w:hint="eastAsia"/>
                <w:sz w:val="21"/>
                <w:szCs w:val="21"/>
              </w:rPr>
              <w:t>神华蒙西</w:t>
            </w:r>
          </w:p>
        </w:tc>
        <w:tc>
          <w:tcPr>
            <w:tcW w:w="3474" w:type="dxa"/>
          </w:tcPr>
          <w:p w:rsidR="00D357B8" w:rsidRDefault="00D357B8" w:rsidP="00D357B8">
            <w:pPr>
              <w:autoSpaceDE w:val="0"/>
              <w:autoSpaceDN w:val="0"/>
              <w:adjustRightInd w:val="0"/>
              <w:spacing w:line="360" w:lineRule="auto"/>
              <w:jc w:val="center"/>
              <w:cnfStyle w:val="000000100000"/>
              <w:rPr>
                <w:szCs w:val="21"/>
              </w:rPr>
            </w:pPr>
            <w:r>
              <w:rPr>
                <w:rFonts w:hint="eastAsia"/>
                <w:szCs w:val="21"/>
              </w:rPr>
              <w:t>10</w:t>
            </w:r>
          </w:p>
        </w:tc>
        <w:tc>
          <w:tcPr>
            <w:tcW w:w="3474" w:type="dxa"/>
          </w:tcPr>
          <w:p w:rsidR="00D357B8" w:rsidRPr="00D357B8" w:rsidRDefault="00D357B8" w:rsidP="00D357B8">
            <w:pPr>
              <w:pStyle w:val="Default"/>
              <w:spacing w:before="156"/>
              <w:jc w:val="center"/>
              <w:cnfStyle w:val="000000100000"/>
              <w:rPr>
                <w:sz w:val="21"/>
              </w:rPr>
            </w:pPr>
            <w:r>
              <w:rPr>
                <w:rFonts w:hint="eastAsia"/>
                <w:sz w:val="21"/>
                <w:szCs w:val="21"/>
              </w:rPr>
              <w:t>其甲醇装置于</w:t>
            </w:r>
            <w:r>
              <w:rPr>
                <w:sz w:val="21"/>
                <w:szCs w:val="21"/>
              </w:rPr>
              <w:t>8</w:t>
            </w:r>
            <w:r>
              <w:rPr>
                <w:rFonts w:hint="eastAsia"/>
                <w:sz w:val="21"/>
                <w:szCs w:val="21"/>
              </w:rPr>
              <w:t>月</w:t>
            </w:r>
            <w:r>
              <w:rPr>
                <w:sz w:val="21"/>
                <w:szCs w:val="21"/>
              </w:rPr>
              <w:t>28</w:t>
            </w:r>
            <w:r>
              <w:rPr>
                <w:rFonts w:hint="eastAsia"/>
                <w:sz w:val="21"/>
                <w:szCs w:val="21"/>
              </w:rPr>
              <w:t>日停车，恢复时间待定</w:t>
            </w:r>
          </w:p>
        </w:tc>
      </w:tr>
      <w:tr w:rsidR="00D357B8" w:rsidTr="00D357B8">
        <w:tc>
          <w:tcPr>
            <w:cnfStyle w:val="001000000000"/>
            <w:tcW w:w="3474" w:type="dxa"/>
          </w:tcPr>
          <w:p w:rsidR="00D357B8" w:rsidRPr="00D357B8" w:rsidRDefault="00495E5E" w:rsidP="00D357B8">
            <w:pPr>
              <w:pStyle w:val="Default"/>
              <w:spacing w:before="156"/>
              <w:jc w:val="center"/>
              <w:rPr>
                <w:sz w:val="21"/>
              </w:rPr>
            </w:pPr>
            <w:r>
              <w:rPr>
                <w:rFonts w:hint="eastAsia"/>
                <w:sz w:val="21"/>
                <w:szCs w:val="21"/>
              </w:rPr>
              <w:t>神华包头</w:t>
            </w:r>
          </w:p>
        </w:tc>
        <w:tc>
          <w:tcPr>
            <w:tcW w:w="3474" w:type="dxa"/>
          </w:tcPr>
          <w:p w:rsidR="00D357B8" w:rsidRDefault="00495E5E" w:rsidP="00D357B8">
            <w:pPr>
              <w:autoSpaceDE w:val="0"/>
              <w:autoSpaceDN w:val="0"/>
              <w:adjustRightInd w:val="0"/>
              <w:spacing w:line="360" w:lineRule="auto"/>
              <w:jc w:val="center"/>
              <w:cnfStyle w:val="000000000000"/>
              <w:rPr>
                <w:szCs w:val="21"/>
              </w:rPr>
            </w:pPr>
            <w:r>
              <w:rPr>
                <w:rFonts w:hint="eastAsia"/>
                <w:szCs w:val="21"/>
              </w:rPr>
              <w:t>18</w:t>
            </w:r>
            <w:r w:rsidR="00D357B8">
              <w:rPr>
                <w:rFonts w:hint="eastAsia"/>
                <w:szCs w:val="21"/>
              </w:rPr>
              <w:t>0</w:t>
            </w:r>
          </w:p>
        </w:tc>
        <w:tc>
          <w:tcPr>
            <w:tcW w:w="3474" w:type="dxa"/>
          </w:tcPr>
          <w:p w:rsidR="00D357B8" w:rsidRPr="00D357B8" w:rsidRDefault="00495E5E" w:rsidP="00D357B8">
            <w:pPr>
              <w:pStyle w:val="Default"/>
              <w:spacing w:before="156"/>
              <w:jc w:val="center"/>
              <w:cnfStyle w:val="000000000000"/>
              <w:rPr>
                <w:sz w:val="21"/>
              </w:rPr>
            </w:pPr>
            <w:r>
              <w:rPr>
                <w:rFonts w:hint="eastAsia"/>
                <w:sz w:val="21"/>
                <w:szCs w:val="21"/>
              </w:rPr>
              <w:t>计划近期停车检修</w:t>
            </w:r>
          </w:p>
        </w:tc>
      </w:tr>
      <w:tr w:rsidR="00495E5E" w:rsidRPr="00495E5E" w:rsidTr="00D357B8">
        <w:trPr>
          <w:cnfStyle w:val="000000100000"/>
        </w:trPr>
        <w:tc>
          <w:tcPr>
            <w:cnfStyle w:val="001000000000"/>
            <w:tcW w:w="3474" w:type="dxa"/>
          </w:tcPr>
          <w:p w:rsidR="00495E5E" w:rsidRDefault="00495E5E" w:rsidP="00D357B8">
            <w:pPr>
              <w:pStyle w:val="Default"/>
              <w:spacing w:before="156"/>
              <w:jc w:val="center"/>
              <w:rPr>
                <w:rFonts w:hint="eastAsia"/>
                <w:sz w:val="21"/>
                <w:szCs w:val="21"/>
              </w:rPr>
            </w:pPr>
            <w:r>
              <w:rPr>
                <w:rFonts w:hint="eastAsia"/>
                <w:sz w:val="21"/>
                <w:szCs w:val="21"/>
              </w:rPr>
              <w:t>大唐多伦</w:t>
            </w:r>
          </w:p>
        </w:tc>
        <w:tc>
          <w:tcPr>
            <w:tcW w:w="3474" w:type="dxa"/>
          </w:tcPr>
          <w:p w:rsidR="00495E5E" w:rsidRDefault="00495E5E" w:rsidP="00D357B8">
            <w:pPr>
              <w:autoSpaceDE w:val="0"/>
              <w:autoSpaceDN w:val="0"/>
              <w:adjustRightInd w:val="0"/>
              <w:spacing w:line="360" w:lineRule="auto"/>
              <w:jc w:val="center"/>
              <w:cnfStyle w:val="000000100000"/>
              <w:rPr>
                <w:rFonts w:hint="eastAsia"/>
                <w:szCs w:val="21"/>
              </w:rPr>
            </w:pPr>
            <w:r>
              <w:rPr>
                <w:rFonts w:hint="eastAsia"/>
                <w:szCs w:val="21"/>
              </w:rPr>
              <w:t>180</w:t>
            </w:r>
          </w:p>
        </w:tc>
        <w:tc>
          <w:tcPr>
            <w:tcW w:w="3474" w:type="dxa"/>
          </w:tcPr>
          <w:p w:rsidR="00495E5E" w:rsidRDefault="00495E5E" w:rsidP="00D357B8">
            <w:pPr>
              <w:pStyle w:val="Default"/>
              <w:spacing w:before="156"/>
              <w:jc w:val="center"/>
              <w:cnfStyle w:val="000000100000"/>
              <w:rPr>
                <w:rFonts w:hint="eastAsia"/>
                <w:sz w:val="21"/>
                <w:szCs w:val="21"/>
              </w:rPr>
            </w:pPr>
            <w:r>
              <w:rPr>
                <w:rFonts w:hint="eastAsia"/>
                <w:sz w:val="21"/>
                <w:szCs w:val="21"/>
              </w:rPr>
              <w:t>计划9月中旬全线停车检修</w:t>
            </w:r>
          </w:p>
        </w:tc>
      </w:tr>
      <w:tr w:rsidR="00495E5E" w:rsidRPr="00495E5E" w:rsidTr="00D357B8">
        <w:tc>
          <w:tcPr>
            <w:cnfStyle w:val="001000000000"/>
            <w:tcW w:w="3474" w:type="dxa"/>
          </w:tcPr>
          <w:p w:rsidR="00495E5E" w:rsidRDefault="00495E5E" w:rsidP="00D357B8">
            <w:pPr>
              <w:pStyle w:val="Default"/>
              <w:spacing w:before="156"/>
              <w:jc w:val="center"/>
              <w:rPr>
                <w:rFonts w:hint="eastAsia"/>
                <w:sz w:val="21"/>
                <w:szCs w:val="21"/>
              </w:rPr>
            </w:pPr>
            <w:r>
              <w:rPr>
                <w:rFonts w:hint="eastAsia"/>
                <w:sz w:val="21"/>
                <w:szCs w:val="21"/>
              </w:rPr>
              <w:t>蒲城清洁能源</w:t>
            </w:r>
          </w:p>
        </w:tc>
        <w:tc>
          <w:tcPr>
            <w:tcW w:w="3474" w:type="dxa"/>
          </w:tcPr>
          <w:p w:rsidR="00495E5E" w:rsidRDefault="00495E5E" w:rsidP="00D357B8">
            <w:pPr>
              <w:autoSpaceDE w:val="0"/>
              <w:autoSpaceDN w:val="0"/>
              <w:adjustRightInd w:val="0"/>
              <w:spacing w:line="360" w:lineRule="auto"/>
              <w:jc w:val="center"/>
              <w:cnfStyle w:val="000000000000"/>
              <w:rPr>
                <w:rFonts w:hint="eastAsia"/>
                <w:szCs w:val="21"/>
              </w:rPr>
            </w:pPr>
            <w:r>
              <w:rPr>
                <w:rFonts w:hint="eastAsia"/>
                <w:szCs w:val="21"/>
              </w:rPr>
              <w:t>180</w:t>
            </w:r>
          </w:p>
        </w:tc>
        <w:tc>
          <w:tcPr>
            <w:tcW w:w="3474" w:type="dxa"/>
          </w:tcPr>
          <w:p w:rsidR="00495E5E" w:rsidRDefault="00495E5E" w:rsidP="00D357B8">
            <w:pPr>
              <w:pStyle w:val="Default"/>
              <w:spacing w:before="156"/>
              <w:jc w:val="center"/>
              <w:cnfStyle w:val="000000000000"/>
              <w:rPr>
                <w:rFonts w:hint="eastAsia"/>
                <w:sz w:val="21"/>
                <w:szCs w:val="21"/>
              </w:rPr>
            </w:pPr>
            <w:r>
              <w:rPr>
                <w:rFonts w:hint="eastAsia"/>
                <w:sz w:val="21"/>
                <w:szCs w:val="21"/>
              </w:rPr>
              <w:t>计划9月中旬全线停车检修</w:t>
            </w:r>
          </w:p>
        </w:tc>
      </w:tr>
    </w:tbl>
    <w:p w:rsidR="00D357B8" w:rsidRPr="00713078" w:rsidRDefault="00D357B8" w:rsidP="00713078">
      <w:pPr>
        <w:autoSpaceDE w:val="0"/>
        <w:autoSpaceDN w:val="0"/>
        <w:adjustRightInd w:val="0"/>
        <w:spacing w:line="360" w:lineRule="auto"/>
        <w:ind w:firstLineChars="200" w:firstLine="420"/>
        <w:jc w:val="left"/>
        <w:rPr>
          <w:szCs w:val="21"/>
        </w:rPr>
      </w:pPr>
    </w:p>
    <w:p w:rsidR="004F5A53" w:rsidRDefault="00495E5E" w:rsidP="00AE4826">
      <w:pPr>
        <w:widowControl/>
        <w:spacing w:line="360" w:lineRule="auto"/>
        <w:jc w:val="left"/>
        <w:rPr>
          <w:rFonts w:ascii="宋体" w:hAnsi="宋体" w:cs="Arial"/>
          <w:kern w:val="0"/>
          <w:szCs w:val="21"/>
        </w:rPr>
      </w:pPr>
      <w:r w:rsidRPr="00495E5E">
        <w:rPr>
          <w:rFonts w:ascii="宋体" w:hAnsi="宋体" w:cs="Arial"/>
          <w:kern w:val="0"/>
          <w:szCs w:val="21"/>
        </w:rPr>
        <w:lastRenderedPageBreak/>
        <w:drawing>
          <wp:inline distT="0" distB="0" distL="0" distR="0">
            <wp:extent cx="6373124" cy="2527540"/>
            <wp:effectExtent l="19050" t="0" r="8626" b="0"/>
            <wp:docPr id="19" name="图片 7"/>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8"/>
                    <a:stretch>
                      <a:fillRect/>
                    </a:stretch>
                  </pic:blipFill>
                  <pic:spPr>
                    <a:xfrm>
                      <a:off x="0" y="0"/>
                      <a:ext cx="6378923" cy="2529840"/>
                    </a:xfrm>
                    <a:prstGeom prst="rect">
                      <a:avLst/>
                    </a:prstGeom>
                  </pic:spPr>
                </pic:pic>
              </a:graphicData>
            </a:graphic>
          </wp:inline>
        </w:drawing>
      </w:r>
    </w:p>
    <w:p w:rsidR="004F5A53" w:rsidRDefault="004F5A53" w:rsidP="004F5A53">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F5A53" w:rsidRDefault="00495E5E" w:rsidP="00713078">
      <w:pPr>
        <w:autoSpaceDE w:val="0"/>
        <w:autoSpaceDN w:val="0"/>
        <w:adjustRightInd w:val="0"/>
        <w:spacing w:line="360" w:lineRule="auto"/>
        <w:ind w:firstLineChars="200" w:firstLine="420"/>
        <w:jc w:val="left"/>
        <w:rPr>
          <w:szCs w:val="21"/>
        </w:rPr>
      </w:pPr>
      <w:r>
        <w:rPr>
          <w:rFonts w:hint="eastAsia"/>
          <w:szCs w:val="21"/>
        </w:rPr>
        <w:t>本周国内煤（甲醇）制烯烃装置平均开工率在</w:t>
      </w:r>
      <w:r>
        <w:rPr>
          <w:szCs w:val="21"/>
        </w:rPr>
        <w:t>79.38%</w:t>
      </w:r>
      <w:r>
        <w:rPr>
          <w:rFonts w:hint="eastAsia"/>
          <w:szCs w:val="21"/>
        </w:rPr>
        <w:t>，较上周下降</w:t>
      </w:r>
      <w:r>
        <w:rPr>
          <w:szCs w:val="21"/>
        </w:rPr>
        <w:t>0.24%</w:t>
      </w:r>
      <w:r>
        <w:rPr>
          <w:rFonts w:hint="eastAsia"/>
          <w:szCs w:val="21"/>
        </w:rPr>
        <w:t>。本周期内，国内</w:t>
      </w:r>
      <w:r>
        <w:rPr>
          <w:szCs w:val="21"/>
        </w:rPr>
        <w:t>CTO/MTO</w:t>
      </w:r>
      <w:r>
        <w:rPr>
          <w:rFonts w:hint="eastAsia"/>
          <w:szCs w:val="21"/>
        </w:rPr>
        <w:t>装置整体开工率波动不大，多数烯烃装置目前较上周运行平稳，但原计划</w:t>
      </w:r>
      <w:r>
        <w:rPr>
          <w:szCs w:val="21"/>
        </w:rPr>
        <w:t>9</w:t>
      </w:r>
      <w:r>
        <w:rPr>
          <w:rFonts w:hint="eastAsia"/>
          <w:szCs w:val="21"/>
        </w:rPr>
        <w:t>月份检修</w:t>
      </w:r>
      <w:r>
        <w:rPr>
          <w:szCs w:val="21"/>
        </w:rPr>
        <w:t>MTO</w:t>
      </w:r>
      <w:r>
        <w:rPr>
          <w:rFonts w:hint="eastAsia"/>
          <w:szCs w:val="21"/>
        </w:rPr>
        <w:t>装置较多，且多集中在西北地区，所以继续关注本月中下旬</w:t>
      </w:r>
      <w:r>
        <w:rPr>
          <w:szCs w:val="21"/>
        </w:rPr>
        <w:t>MTO</w:t>
      </w:r>
      <w:r>
        <w:rPr>
          <w:rFonts w:hint="eastAsia"/>
          <w:szCs w:val="21"/>
        </w:rPr>
        <w:t>装置运行情况</w:t>
      </w:r>
      <w:r w:rsidR="005A0247">
        <w:rPr>
          <w:rFonts w:hint="eastAsia"/>
          <w:szCs w:val="21"/>
        </w:rPr>
        <w:t>。</w:t>
      </w:r>
    </w:p>
    <w:p w:rsidR="00417CFF" w:rsidRPr="00417CFF" w:rsidRDefault="00417CFF" w:rsidP="00417CFF">
      <w:pPr>
        <w:autoSpaceDE w:val="0"/>
        <w:autoSpaceDN w:val="0"/>
        <w:adjustRightInd w:val="0"/>
        <w:spacing w:line="360" w:lineRule="auto"/>
        <w:ind w:firstLineChars="200" w:firstLine="422"/>
        <w:jc w:val="center"/>
        <w:rPr>
          <w:b/>
          <w:szCs w:val="21"/>
        </w:rPr>
      </w:pPr>
      <w:r w:rsidRPr="00417CFF">
        <w:rPr>
          <w:rFonts w:hint="eastAsia"/>
          <w:b/>
          <w:szCs w:val="21"/>
        </w:rPr>
        <w:t>传统下游企业开工率</w:t>
      </w:r>
    </w:p>
    <w:tbl>
      <w:tblPr>
        <w:tblStyle w:val="1-11"/>
        <w:tblW w:w="0" w:type="auto"/>
        <w:tblLook w:val="04A0"/>
      </w:tblPr>
      <w:tblGrid>
        <w:gridCol w:w="1471"/>
        <w:gridCol w:w="1524"/>
        <w:gridCol w:w="1506"/>
        <w:gridCol w:w="1524"/>
        <w:gridCol w:w="1437"/>
        <w:gridCol w:w="1471"/>
        <w:gridCol w:w="1489"/>
      </w:tblGrid>
      <w:tr w:rsidR="008820E4" w:rsidTr="002A6B9A">
        <w:trPr>
          <w:cnfStyle w:val="1000000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p>
        </w:tc>
        <w:tc>
          <w:tcPr>
            <w:tcW w:w="1524"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w:t>
            </w:r>
          </w:p>
        </w:tc>
        <w:tc>
          <w:tcPr>
            <w:tcW w:w="1506"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w:t>
            </w:r>
          </w:p>
        </w:tc>
        <w:tc>
          <w:tcPr>
            <w:tcW w:w="1524"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w:t>
            </w:r>
          </w:p>
        </w:tc>
        <w:tc>
          <w:tcPr>
            <w:tcW w:w="1437"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w:t>
            </w:r>
          </w:p>
        </w:tc>
        <w:tc>
          <w:tcPr>
            <w:tcW w:w="1471"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甲缩醛</w:t>
            </w:r>
          </w:p>
        </w:tc>
        <w:tc>
          <w:tcPr>
            <w:tcW w:w="1489"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DMF</w:t>
            </w:r>
          </w:p>
        </w:tc>
      </w:tr>
      <w:tr w:rsidR="002A6B9A" w:rsidTr="002A6B9A">
        <w:trPr>
          <w:cnfStyle w:val="000000100000"/>
          <w:trHeight w:val="514"/>
        </w:trPr>
        <w:tc>
          <w:tcPr>
            <w:cnfStyle w:val="001000000000"/>
            <w:tcW w:w="1471" w:type="dxa"/>
          </w:tcPr>
          <w:p w:rsidR="002A6B9A" w:rsidRDefault="002A6B9A"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本周</w:t>
            </w:r>
          </w:p>
        </w:tc>
        <w:tc>
          <w:tcPr>
            <w:tcW w:w="1524" w:type="dxa"/>
            <w:vAlign w:val="center"/>
          </w:tcPr>
          <w:p w:rsidR="002A6B9A" w:rsidRDefault="00495E5E" w:rsidP="00495E5E">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30.85</w:t>
            </w:r>
          </w:p>
        </w:tc>
        <w:tc>
          <w:tcPr>
            <w:tcW w:w="1506" w:type="dxa"/>
            <w:vAlign w:val="center"/>
          </w:tcPr>
          <w:p w:rsidR="002A6B9A" w:rsidRDefault="00495E5E"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18.92</w:t>
            </w:r>
          </w:p>
        </w:tc>
        <w:tc>
          <w:tcPr>
            <w:tcW w:w="1524" w:type="dxa"/>
            <w:vAlign w:val="center"/>
          </w:tcPr>
          <w:p w:rsidR="002A6B9A" w:rsidRDefault="00495E5E"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53.73</w:t>
            </w:r>
          </w:p>
        </w:tc>
        <w:tc>
          <w:tcPr>
            <w:tcW w:w="1437" w:type="dxa"/>
            <w:vAlign w:val="center"/>
          </w:tcPr>
          <w:p w:rsidR="002A6B9A" w:rsidRDefault="00495E5E"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73.28</w:t>
            </w:r>
          </w:p>
        </w:tc>
        <w:tc>
          <w:tcPr>
            <w:tcW w:w="1471" w:type="dxa"/>
            <w:vAlign w:val="center"/>
          </w:tcPr>
          <w:p w:rsidR="002A6B9A" w:rsidRDefault="00495E5E"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4.94</w:t>
            </w:r>
          </w:p>
        </w:tc>
        <w:tc>
          <w:tcPr>
            <w:tcW w:w="1489" w:type="dxa"/>
            <w:vAlign w:val="center"/>
          </w:tcPr>
          <w:p w:rsidR="002A6B9A" w:rsidRDefault="00495E5E"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26.32</w:t>
            </w:r>
          </w:p>
        </w:tc>
      </w:tr>
      <w:tr w:rsidR="00495E5E" w:rsidTr="002A6B9A">
        <w:trPr>
          <w:cnfStyle w:val="000000010000"/>
          <w:trHeight w:val="514"/>
        </w:trPr>
        <w:tc>
          <w:tcPr>
            <w:cnfStyle w:val="001000000000"/>
            <w:tcW w:w="1471" w:type="dxa"/>
          </w:tcPr>
          <w:p w:rsidR="00495E5E" w:rsidRDefault="00495E5E"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上周</w:t>
            </w:r>
          </w:p>
        </w:tc>
        <w:tc>
          <w:tcPr>
            <w:tcW w:w="1524" w:type="dxa"/>
            <w:vAlign w:val="center"/>
          </w:tcPr>
          <w:p w:rsidR="00495E5E" w:rsidRDefault="00495E5E" w:rsidP="009D7531">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29.58</w:t>
            </w:r>
          </w:p>
        </w:tc>
        <w:tc>
          <w:tcPr>
            <w:tcW w:w="1506" w:type="dxa"/>
            <w:vAlign w:val="center"/>
          </w:tcPr>
          <w:p w:rsidR="00495E5E" w:rsidRDefault="00495E5E" w:rsidP="009D7531">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18.77</w:t>
            </w:r>
          </w:p>
        </w:tc>
        <w:tc>
          <w:tcPr>
            <w:tcW w:w="1524" w:type="dxa"/>
            <w:vAlign w:val="center"/>
          </w:tcPr>
          <w:p w:rsidR="00495E5E" w:rsidRDefault="00495E5E" w:rsidP="009D7531">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51.19</w:t>
            </w:r>
          </w:p>
        </w:tc>
        <w:tc>
          <w:tcPr>
            <w:tcW w:w="1437" w:type="dxa"/>
            <w:vAlign w:val="center"/>
          </w:tcPr>
          <w:p w:rsidR="00495E5E" w:rsidRDefault="00495E5E" w:rsidP="009D7531">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77.83</w:t>
            </w:r>
          </w:p>
        </w:tc>
        <w:tc>
          <w:tcPr>
            <w:tcW w:w="1471" w:type="dxa"/>
            <w:vAlign w:val="center"/>
          </w:tcPr>
          <w:p w:rsidR="00495E5E" w:rsidRDefault="00495E5E" w:rsidP="009D7531">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4.94</w:t>
            </w:r>
          </w:p>
        </w:tc>
        <w:tc>
          <w:tcPr>
            <w:tcW w:w="1489" w:type="dxa"/>
            <w:vAlign w:val="center"/>
          </w:tcPr>
          <w:p w:rsidR="00495E5E" w:rsidRDefault="00495E5E" w:rsidP="009D7531">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25.82</w:t>
            </w:r>
          </w:p>
        </w:tc>
      </w:tr>
    </w:tbl>
    <w:p w:rsidR="004F5A53" w:rsidRPr="004F5A53" w:rsidRDefault="008820E4" w:rsidP="00C350B2">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E865B6" w:rsidRPr="00AE4826" w:rsidRDefault="00AE4826" w:rsidP="00AE4826">
      <w:pPr>
        <w:widowControl/>
        <w:spacing w:line="360" w:lineRule="auto"/>
        <w:jc w:val="left"/>
        <w:rPr>
          <w:rFonts w:ascii="宋体" w:hAnsi="宋体" w:cs="Arial"/>
          <w:kern w:val="0"/>
          <w:szCs w:val="21"/>
        </w:rPr>
      </w:pPr>
      <w:r>
        <w:rPr>
          <w:rFonts w:ascii="宋体" w:hAnsi="宋体" w:cs="Arial" w:hint="eastAsia"/>
          <w:b/>
          <w:color w:val="0070C0"/>
          <w:kern w:val="0"/>
          <w:sz w:val="28"/>
          <w:szCs w:val="28"/>
        </w:rPr>
        <w:t>七</w:t>
      </w:r>
      <w:r w:rsidR="00151A82" w:rsidRPr="00BD0883">
        <w:rPr>
          <w:rFonts w:ascii="宋体" w:hAnsi="宋体" w:cs="Arial" w:hint="eastAsia"/>
          <w:b/>
          <w:color w:val="0070C0"/>
          <w:kern w:val="0"/>
          <w:sz w:val="28"/>
          <w:szCs w:val="28"/>
        </w:rPr>
        <w:t>、</w:t>
      </w:r>
      <w:r>
        <w:rPr>
          <w:rFonts w:ascii="宋体" w:hAnsi="宋体" w:cs="Arial" w:hint="eastAsia"/>
          <w:b/>
          <w:color w:val="0070C0"/>
          <w:kern w:val="0"/>
          <w:sz w:val="28"/>
          <w:szCs w:val="28"/>
        </w:rPr>
        <w:t>下游价格变化情况</w:t>
      </w:r>
    </w:p>
    <w:p w:rsidR="00E865B6" w:rsidRDefault="00495E5E" w:rsidP="00AE4826">
      <w:pPr>
        <w:widowControl/>
        <w:spacing w:line="360" w:lineRule="auto"/>
        <w:jc w:val="left"/>
        <w:rPr>
          <w:rFonts w:ascii="宋体" w:hAnsi="宋体" w:cs="Arial"/>
          <w:b/>
          <w:color w:val="0070C0"/>
          <w:kern w:val="0"/>
          <w:sz w:val="28"/>
          <w:szCs w:val="28"/>
        </w:rPr>
      </w:pPr>
      <w:r w:rsidRPr="00495E5E">
        <w:rPr>
          <w:rFonts w:ascii="宋体" w:hAnsi="宋体" w:cs="Arial"/>
          <w:b/>
          <w:color w:val="0070C0"/>
          <w:kern w:val="0"/>
          <w:sz w:val="28"/>
          <w:szCs w:val="28"/>
        </w:rPr>
        <w:drawing>
          <wp:inline distT="0" distB="0" distL="0" distR="0">
            <wp:extent cx="6347243" cy="2518914"/>
            <wp:effectExtent l="19050" t="0" r="0" b="0"/>
            <wp:docPr id="20" name="图片 8"/>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a:stretch>
                      <a:fillRect/>
                    </a:stretch>
                  </pic:blipFill>
                  <pic:spPr>
                    <a:xfrm>
                      <a:off x="0" y="0"/>
                      <a:ext cx="6345556" cy="2518245"/>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hint="eastAsia"/>
          <w:bCs/>
          <w:color w:val="000000"/>
          <w:szCs w:val="21"/>
          <w:lang w:val="zh-CN"/>
        </w:rPr>
      </w:pPr>
      <w:r w:rsidRPr="00BE51FF">
        <w:rPr>
          <w:rFonts w:ascii="黑体" w:eastAsia="黑体" w:hAnsi="宋体" w:hint="eastAsia"/>
          <w:bCs/>
          <w:color w:val="000000"/>
          <w:szCs w:val="21"/>
          <w:lang w:val="zh-CN"/>
        </w:rPr>
        <w:lastRenderedPageBreak/>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95E5E" w:rsidRDefault="00A16E67" w:rsidP="00A16E67">
      <w:pPr>
        <w:widowControl/>
        <w:spacing w:line="360" w:lineRule="auto"/>
        <w:jc w:val="left"/>
        <w:rPr>
          <w:rFonts w:ascii="黑体" w:eastAsia="黑体" w:hAnsi="宋体" w:hint="eastAsia"/>
          <w:bCs/>
          <w:color w:val="000000"/>
          <w:szCs w:val="21"/>
          <w:lang w:val="zh-CN"/>
        </w:rPr>
      </w:pPr>
      <w:r w:rsidRPr="00A16E67">
        <w:rPr>
          <w:rFonts w:ascii="黑体" w:eastAsia="黑体" w:hAnsi="宋体"/>
          <w:bCs/>
          <w:color w:val="000000"/>
          <w:szCs w:val="21"/>
          <w:lang w:val="zh-CN"/>
        </w:rPr>
        <w:drawing>
          <wp:inline distT="0" distB="0" distL="0" distR="0">
            <wp:extent cx="6413081" cy="2251495"/>
            <wp:effectExtent l="19050" t="0" r="6769" b="0"/>
            <wp:docPr id="22" name="图片 10"/>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0"/>
                    <a:stretch>
                      <a:fillRect/>
                    </a:stretch>
                  </pic:blipFill>
                  <pic:spPr>
                    <a:xfrm>
                      <a:off x="0" y="0"/>
                      <a:ext cx="6414550" cy="2252011"/>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hint="eastAsia"/>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16E67" w:rsidRDefault="00A16E67" w:rsidP="00A16E67">
      <w:pPr>
        <w:widowControl/>
        <w:spacing w:line="360" w:lineRule="auto"/>
        <w:jc w:val="right"/>
        <w:rPr>
          <w:rFonts w:ascii="黑体" w:eastAsia="黑体" w:hAnsi="宋体" w:hint="eastAsia"/>
          <w:bCs/>
          <w:color w:val="000000"/>
          <w:szCs w:val="21"/>
          <w:lang w:val="zh-CN"/>
        </w:rPr>
      </w:pPr>
      <w:r w:rsidRPr="00A16E67">
        <w:rPr>
          <w:rFonts w:ascii="黑体" w:eastAsia="黑体" w:hAnsi="宋体"/>
          <w:bCs/>
          <w:color w:val="000000"/>
          <w:szCs w:val="21"/>
          <w:lang w:val="zh-CN"/>
        </w:rPr>
        <w:drawing>
          <wp:inline distT="0" distB="0" distL="0" distR="0">
            <wp:extent cx="6381750" cy="2182483"/>
            <wp:effectExtent l="19050" t="0" r="0" b="0"/>
            <wp:docPr id="23" name="图片 1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1"/>
                    <a:stretch>
                      <a:fillRect/>
                    </a:stretch>
                  </pic:blipFill>
                  <pic:spPr>
                    <a:xfrm>
                      <a:off x="0" y="0"/>
                      <a:ext cx="6380053" cy="2181903"/>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03527" w:rsidRDefault="00A16E67" w:rsidP="00713078">
      <w:pPr>
        <w:autoSpaceDE w:val="0"/>
        <w:autoSpaceDN w:val="0"/>
        <w:adjustRightInd w:val="0"/>
        <w:spacing w:line="360" w:lineRule="auto"/>
        <w:ind w:firstLineChars="200" w:firstLine="420"/>
        <w:jc w:val="left"/>
        <w:rPr>
          <w:szCs w:val="21"/>
        </w:rPr>
      </w:pPr>
      <w:r>
        <w:rPr>
          <w:rFonts w:hint="eastAsia"/>
          <w:szCs w:val="21"/>
        </w:rPr>
        <w:t>本周，国内二甲醚市场宽幅上涨，市场均价较上周大涨近</w:t>
      </w:r>
      <w:r>
        <w:rPr>
          <w:szCs w:val="21"/>
        </w:rPr>
        <w:t>400</w:t>
      </w:r>
      <w:r>
        <w:rPr>
          <w:rFonts w:hint="eastAsia"/>
          <w:szCs w:val="21"/>
        </w:rPr>
        <w:t>元</w:t>
      </w:r>
      <w:r>
        <w:rPr>
          <w:szCs w:val="21"/>
        </w:rPr>
        <w:t>/</w:t>
      </w:r>
      <w:r>
        <w:rPr>
          <w:rFonts w:hint="eastAsia"/>
          <w:szCs w:val="21"/>
        </w:rPr>
        <w:t>吨。原料甲醇市场持续推涨，传导至二甲醚市场表现为成本压力大幅增加及行业利润急速缩水，二甲醚工厂均有挺价意愿，上调报盘缓解成本压力，加之行业开工不高及下游受买涨不买跌心态支撑入市积极采购，工厂销售无压，操盘心态愈发积极，但随着价格的推高，市场交投转为谨慎，周后期涨势收敛。</w:t>
      </w:r>
    </w:p>
    <w:p w:rsidR="008820E4" w:rsidRPr="00713078" w:rsidRDefault="00A16E67" w:rsidP="00713078">
      <w:pPr>
        <w:autoSpaceDE w:val="0"/>
        <w:autoSpaceDN w:val="0"/>
        <w:adjustRightInd w:val="0"/>
        <w:spacing w:line="360" w:lineRule="auto"/>
        <w:ind w:firstLineChars="200" w:firstLine="420"/>
        <w:jc w:val="left"/>
        <w:rPr>
          <w:szCs w:val="21"/>
        </w:rPr>
      </w:pPr>
      <w:r>
        <w:rPr>
          <w:szCs w:val="21"/>
        </w:rPr>
        <w:t>本周国内甲醛市场继续走高。截止收稿，山东地区甲醛市场均价为</w:t>
      </w:r>
      <w:r>
        <w:rPr>
          <w:rFonts w:ascii="Calibri" w:hAnsi="Calibri" w:cs="Calibri"/>
          <w:szCs w:val="21"/>
        </w:rPr>
        <w:t>1453</w:t>
      </w:r>
      <w:r>
        <w:rPr>
          <w:szCs w:val="21"/>
        </w:rPr>
        <w:t>元</w:t>
      </w:r>
      <w:r>
        <w:rPr>
          <w:rFonts w:ascii="Calibri" w:hAnsi="Calibri" w:cs="Calibri"/>
          <w:szCs w:val="21"/>
        </w:rPr>
        <w:t>/</w:t>
      </w:r>
      <w:r>
        <w:rPr>
          <w:szCs w:val="21"/>
        </w:rPr>
        <w:t>吨，环比上涨</w:t>
      </w:r>
      <w:r>
        <w:rPr>
          <w:rFonts w:ascii="Calibri" w:hAnsi="Calibri" w:cs="Calibri"/>
          <w:szCs w:val="21"/>
        </w:rPr>
        <w:t>13.6%</w:t>
      </w:r>
      <w:r>
        <w:rPr>
          <w:szCs w:val="21"/>
        </w:rPr>
        <w:t>；河北地区甲醛市场均价为</w:t>
      </w:r>
      <w:r>
        <w:rPr>
          <w:rFonts w:ascii="Calibri" w:hAnsi="Calibri" w:cs="Calibri"/>
          <w:szCs w:val="21"/>
        </w:rPr>
        <w:t>1317</w:t>
      </w:r>
      <w:r>
        <w:rPr>
          <w:szCs w:val="21"/>
        </w:rPr>
        <w:t>元</w:t>
      </w:r>
      <w:r>
        <w:rPr>
          <w:rFonts w:ascii="Calibri" w:hAnsi="Calibri" w:cs="Calibri"/>
          <w:szCs w:val="21"/>
        </w:rPr>
        <w:t>/</w:t>
      </w:r>
      <w:r>
        <w:rPr>
          <w:szCs w:val="21"/>
        </w:rPr>
        <w:t>吨，环比上涨</w:t>
      </w:r>
      <w:r>
        <w:rPr>
          <w:rFonts w:ascii="Calibri" w:hAnsi="Calibri" w:cs="Calibri"/>
          <w:szCs w:val="21"/>
        </w:rPr>
        <w:t>12.47%</w:t>
      </w:r>
      <w:r>
        <w:rPr>
          <w:szCs w:val="21"/>
        </w:rPr>
        <w:t>。周初，原料市场大幅度跳涨，继续提振甲醛业者心态，多地甲醛市场继续上攀。下游买涨心态、采购积极性尚可，企业出货略有好转。周中期过后，山东临沂地区零星企业恢复生产，为当地甲醛上下游业者带来一丝希望；周边江苏、河北、安徽、河南地区原料趋于整理，市场消化前期涨幅，上下游交投维持平稳。华南地区市场上行仍显阻力，供方利润压缩明显</w:t>
      </w:r>
      <w:r w:rsidR="002A6B9A">
        <w:rPr>
          <w:szCs w:val="21"/>
        </w:rPr>
        <w:t>。</w:t>
      </w:r>
    </w:p>
    <w:p w:rsidR="007D1331" w:rsidRPr="00A16E67" w:rsidRDefault="00A16E67" w:rsidP="00A16E67">
      <w:pPr>
        <w:autoSpaceDE w:val="0"/>
        <w:autoSpaceDN w:val="0"/>
        <w:adjustRightInd w:val="0"/>
        <w:spacing w:line="360" w:lineRule="auto"/>
        <w:ind w:firstLineChars="200" w:firstLine="420"/>
        <w:jc w:val="left"/>
        <w:rPr>
          <w:szCs w:val="21"/>
        </w:rPr>
      </w:pPr>
      <w:r>
        <w:rPr>
          <w:szCs w:val="21"/>
        </w:rPr>
        <w:lastRenderedPageBreak/>
        <w:t>本周，国内冰醋酸市场小幅上行。华东冰醋酸市场收盘在</w:t>
      </w:r>
      <w:r>
        <w:rPr>
          <w:szCs w:val="21"/>
        </w:rPr>
        <w:t>2920-3150</w:t>
      </w:r>
      <w:r>
        <w:rPr>
          <w:szCs w:val="21"/>
        </w:rPr>
        <w:t>元</w:t>
      </w:r>
      <w:r>
        <w:rPr>
          <w:szCs w:val="21"/>
        </w:rPr>
        <w:t>/</w:t>
      </w:r>
      <w:r>
        <w:rPr>
          <w:szCs w:val="21"/>
        </w:rPr>
        <w:t>吨，华东周均价</w:t>
      </w:r>
      <w:r>
        <w:rPr>
          <w:szCs w:val="21"/>
        </w:rPr>
        <w:t>2994</w:t>
      </w:r>
      <w:r>
        <w:rPr>
          <w:szCs w:val="21"/>
        </w:rPr>
        <w:t>元</w:t>
      </w:r>
      <w:r>
        <w:rPr>
          <w:szCs w:val="21"/>
        </w:rPr>
        <w:t>/</w:t>
      </w:r>
      <w:r>
        <w:rPr>
          <w:szCs w:val="21"/>
        </w:rPr>
        <w:t>吨，与上周相较环比上涨</w:t>
      </w:r>
      <w:r>
        <w:rPr>
          <w:szCs w:val="21"/>
        </w:rPr>
        <w:t>0.81%</w:t>
      </w:r>
      <w:r>
        <w:rPr>
          <w:szCs w:val="21"/>
        </w:rPr>
        <w:t>。河北英都装置周六断电停车，本周处于负荷缓慢提升状态，华鲁恒升装置周内维持低负荷运行状态，河南永城龙宇装置短时停车后低负荷运行，冰醋酸市场现货供应量有所减少。周内冰醋酸社会库存虽略有增加，但仍未上涨至正常水平，且多数工厂库存仍处于低位，供应面对市场有一定支撑。且原料甲醇市场经过前期强势上涨处于高位，周内虽略有回落，但跌幅不及前期上涨幅度。供应面与原料面支撑下，周内冰醋酸市场小幅上行。</w:t>
      </w:r>
    </w:p>
    <w:p w:rsidR="007D1331" w:rsidRDefault="00A16E67"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7D1331">
        <w:rPr>
          <w:rFonts w:ascii="宋体" w:hAnsi="宋体" w:cs="Arial" w:hint="eastAsia"/>
          <w:b/>
          <w:color w:val="0070C0"/>
          <w:kern w:val="0"/>
          <w:sz w:val="28"/>
          <w:szCs w:val="28"/>
        </w:rPr>
        <w:t>、总结</w:t>
      </w:r>
    </w:p>
    <w:p w:rsidR="00015D10" w:rsidRDefault="00A16E67" w:rsidP="00350FC1">
      <w:pPr>
        <w:widowControl/>
        <w:spacing w:line="360" w:lineRule="auto"/>
        <w:ind w:firstLineChars="200" w:firstLine="420"/>
        <w:jc w:val="left"/>
        <w:rPr>
          <w:rFonts w:hint="eastAsia"/>
          <w:szCs w:val="21"/>
        </w:rPr>
      </w:pPr>
      <w:r>
        <w:rPr>
          <w:szCs w:val="21"/>
        </w:rPr>
        <w:t>从供</w:t>
      </w:r>
      <w:r>
        <w:rPr>
          <w:rFonts w:hint="eastAsia"/>
          <w:szCs w:val="21"/>
        </w:rPr>
        <w:t>应端来看，目前内地甲醇库存偏低，甲醇装置开工处于高位，不过</w:t>
      </w:r>
      <w:r>
        <w:rPr>
          <w:rFonts w:hint="eastAsia"/>
          <w:szCs w:val="21"/>
        </w:rPr>
        <w:t>9</w:t>
      </w:r>
      <w:r>
        <w:rPr>
          <w:rFonts w:hint="eastAsia"/>
          <w:szCs w:val="21"/>
        </w:rPr>
        <w:t>月中下旬有大量的甲醇装置进入集中检修，因此未来供应压力会减轻</w:t>
      </w:r>
      <w:r w:rsidR="002A6B9A">
        <w:rPr>
          <w:szCs w:val="21"/>
        </w:rPr>
        <w:t>。</w:t>
      </w:r>
      <w:r>
        <w:rPr>
          <w:rFonts w:hint="eastAsia"/>
          <w:szCs w:val="21"/>
        </w:rPr>
        <w:t>沿海地区来看，目前美金价格处于高位，但江苏港口价格也在上涨，导致进口顺挂，未来甲醇进口压力有进一步增大的可能。库存本周边际量下滑，但绝对量依旧处于高位，而且</w:t>
      </w:r>
      <w:r>
        <w:rPr>
          <w:rFonts w:hint="eastAsia"/>
          <w:szCs w:val="21"/>
        </w:rPr>
        <w:t>9</w:t>
      </w:r>
      <w:r>
        <w:rPr>
          <w:rFonts w:hint="eastAsia"/>
          <w:szCs w:val="21"/>
        </w:rPr>
        <w:t>月合约马上进入交割，导致原来锁在交割库中甲醇进入流通渠道，未来港口甲醇现货压力增大。</w:t>
      </w:r>
    </w:p>
    <w:p w:rsidR="00A16E67" w:rsidRPr="00A16E67" w:rsidRDefault="00A16E67" w:rsidP="00350FC1">
      <w:pPr>
        <w:widowControl/>
        <w:spacing w:line="360" w:lineRule="auto"/>
        <w:ind w:firstLineChars="200" w:firstLine="420"/>
        <w:jc w:val="left"/>
        <w:rPr>
          <w:szCs w:val="21"/>
        </w:rPr>
      </w:pPr>
      <w:r>
        <w:rPr>
          <w:rFonts w:hint="eastAsia"/>
          <w:szCs w:val="21"/>
        </w:rPr>
        <w:t>需求面来看，</w:t>
      </w:r>
      <w:r>
        <w:rPr>
          <w:rFonts w:hint="eastAsia"/>
          <w:szCs w:val="21"/>
        </w:rPr>
        <w:t>9</w:t>
      </w:r>
      <w:r>
        <w:rPr>
          <w:rFonts w:hint="eastAsia"/>
          <w:szCs w:val="21"/>
        </w:rPr>
        <w:t>月中下旬也是烯烃装置的集中检修期，因此，这块可以抵消甲醇装置的检修。传统下游目前开工并不理想，这块支撑有限。从利润情况来看，甲醇端利润处于高位，下游利润被蚕食，目前的产业结构比较像去年同期甲醇高位的时候。因此，目前甲醇积累了一定的风险，高位抛策略。</w:t>
      </w:r>
    </w:p>
    <w:p w:rsidR="00C90824" w:rsidRPr="00C90824" w:rsidRDefault="00C90824" w:rsidP="00350FC1">
      <w:pPr>
        <w:widowControl/>
        <w:spacing w:line="360" w:lineRule="auto"/>
        <w:ind w:firstLineChars="200" w:firstLine="420"/>
        <w:jc w:val="left"/>
        <w:rPr>
          <w:rFonts w:ascii="宋体" w:hAnsi="宋体" w:cs="Arial"/>
          <w:kern w:val="0"/>
          <w:szCs w:val="21"/>
        </w:rPr>
      </w:pP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22"/>
      <w:footerReference w:type="default" r:id="rId23"/>
      <w:headerReference w:type="first" r:id="rId24"/>
      <w:footerReference w:type="first" r:id="rId25"/>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F8F" w:rsidRDefault="00EF3F8F">
      <w:r>
        <w:separator/>
      </w:r>
    </w:p>
  </w:endnote>
  <w:endnote w:type="continuationSeparator" w:id="1">
    <w:p w:rsidR="00EF3F8F" w:rsidRDefault="00EF3F8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宋体Z.癚仱.."/>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4C6052">
    <w:pPr>
      <w:pStyle w:val="ab"/>
      <w:jc w:val="center"/>
    </w:pPr>
    <w:fldSimple w:instr=" PAGE   \* MERGEFORMAT ">
      <w:r w:rsidR="00A16E67" w:rsidRPr="00A16E67">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4C6052"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F8F" w:rsidRDefault="00EF3F8F">
      <w:r>
        <w:separator/>
      </w:r>
    </w:p>
  </w:footnote>
  <w:footnote w:type="continuationSeparator" w:id="1">
    <w:p w:rsidR="00EF3F8F" w:rsidRDefault="00EF3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4C6052"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4C6052" w:rsidP="00C32A93">
    <w:pPr>
      <w:rPr>
        <w:rFonts w:ascii="华文新魏" w:eastAsia="华文新魏"/>
        <w:i/>
        <w:color w:val="17365D"/>
        <w:sz w:val="44"/>
      </w:rPr>
    </w:pPr>
    <w:r w:rsidRPr="004C6052">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4C6052">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4C6052">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25BD"/>
    <w:rsid w:val="000237F5"/>
    <w:rsid w:val="00023E4C"/>
    <w:rsid w:val="00023F36"/>
    <w:rsid w:val="00023F39"/>
    <w:rsid w:val="0002514C"/>
    <w:rsid w:val="000255DB"/>
    <w:rsid w:val="00025CF4"/>
    <w:rsid w:val="000262AE"/>
    <w:rsid w:val="00026BAA"/>
    <w:rsid w:val="0002714F"/>
    <w:rsid w:val="0002761C"/>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5E9"/>
    <w:rsid w:val="00037A0B"/>
    <w:rsid w:val="00037CAF"/>
    <w:rsid w:val="00040905"/>
    <w:rsid w:val="00041762"/>
    <w:rsid w:val="00042AC1"/>
    <w:rsid w:val="00042ACE"/>
    <w:rsid w:val="0004317E"/>
    <w:rsid w:val="00043D72"/>
    <w:rsid w:val="00045320"/>
    <w:rsid w:val="000453AB"/>
    <w:rsid w:val="00047CA5"/>
    <w:rsid w:val="00050FE0"/>
    <w:rsid w:val="00051031"/>
    <w:rsid w:val="00051F65"/>
    <w:rsid w:val="00052091"/>
    <w:rsid w:val="00052B6B"/>
    <w:rsid w:val="00054FBA"/>
    <w:rsid w:val="000554E3"/>
    <w:rsid w:val="00057498"/>
    <w:rsid w:val="00057D0A"/>
    <w:rsid w:val="00057D76"/>
    <w:rsid w:val="00057DD5"/>
    <w:rsid w:val="000600FC"/>
    <w:rsid w:val="000608C3"/>
    <w:rsid w:val="000610FF"/>
    <w:rsid w:val="00062C0D"/>
    <w:rsid w:val="00062DAD"/>
    <w:rsid w:val="00063765"/>
    <w:rsid w:val="00063AB9"/>
    <w:rsid w:val="00064D8F"/>
    <w:rsid w:val="0006599F"/>
    <w:rsid w:val="00065DB0"/>
    <w:rsid w:val="00066203"/>
    <w:rsid w:val="000668A6"/>
    <w:rsid w:val="00067F09"/>
    <w:rsid w:val="0007036B"/>
    <w:rsid w:val="000712BA"/>
    <w:rsid w:val="000714D5"/>
    <w:rsid w:val="00071959"/>
    <w:rsid w:val="00071A39"/>
    <w:rsid w:val="0007246D"/>
    <w:rsid w:val="00072878"/>
    <w:rsid w:val="00073C4E"/>
    <w:rsid w:val="000759B9"/>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B25"/>
    <w:rsid w:val="00090E3A"/>
    <w:rsid w:val="00091532"/>
    <w:rsid w:val="00092534"/>
    <w:rsid w:val="00093738"/>
    <w:rsid w:val="00093C87"/>
    <w:rsid w:val="0009426A"/>
    <w:rsid w:val="00094972"/>
    <w:rsid w:val="00095D15"/>
    <w:rsid w:val="00095FF8"/>
    <w:rsid w:val="000969F3"/>
    <w:rsid w:val="00096BA5"/>
    <w:rsid w:val="00096E35"/>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169C"/>
    <w:rsid w:val="000B49AF"/>
    <w:rsid w:val="000B57A1"/>
    <w:rsid w:val="000B57C3"/>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72E7"/>
    <w:rsid w:val="000E1450"/>
    <w:rsid w:val="000E2972"/>
    <w:rsid w:val="000E35B4"/>
    <w:rsid w:val="000E43DA"/>
    <w:rsid w:val="000E45F7"/>
    <w:rsid w:val="000E4737"/>
    <w:rsid w:val="000E49BB"/>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94A"/>
    <w:rsid w:val="0016408E"/>
    <w:rsid w:val="0016469C"/>
    <w:rsid w:val="00164D48"/>
    <w:rsid w:val="00165B6A"/>
    <w:rsid w:val="00165E6F"/>
    <w:rsid w:val="00166C33"/>
    <w:rsid w:val="00166DC4"/>
    <w:rsid w:val="001676D6"/>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5409"/>
    <w:rsid w:val="001D57D8"/>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7D3"/>
    <w:rsid w:val="001E5888"/>
    <w:rsid w:val="001E6B69"/>
    <w:rsid w:val="001E769F"/>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4C9D"/>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5C22"/>
    <w:rsid w:val="00246578"/>
    <w:rsid w:val="002502B2"/>
    <w:rsid w:val="0025128E"/>
    <w:rsid w:val="002516D0"/>
    <w:rsid w:val="0025199E"/>
    <w:rsid w:val="00252A11"/>
    <w:rsid w:val="002539CD"/>
    <w:rsid w:val="002543C5"/>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7D"/>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73F"/>
    <w:rsid w:val="002A4CB4"/>
    <w:rsid w:val="002A5D1E"/>
    <w:rsid w:val="002A6A74"/>
    <w:rsid w:val="002A6B9A"/>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7B2"/>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834"/>
    <w:rsid w:val="00316B90"/>
    <w:rsid w:val="003172AD"/>
    <w:rsid w:val="0031783B"/>
    <w:rsid w:val="00317D89"/>
    <w:rsid w:val="00317F8D"/>
    <w:rsid w:val="003205D8"/>
    <w:rsid w:val="003205E3"/>
    <w:rsid w:val="00321534"/>
    <w:rsid w:val="0032176F"/>
    <w:rsid w:val="00321973"/>
    <w:rsid w:val="00322610"/>
    <w:rsid w:val="00323527"/>
    <w:rsid w:val="003241C2"/>
    <w:rsid w:val="00324CCD"/>
    <w:rsid w:val="00325E0C"/>
    <w:rsid w:val="00326071"/>
    <w:rsid w:val="0032727C"/>
    <w:rsid w:val="00327567"/>
    <w:rsid w:val="00327A3B"/>
    <w:rsid w:val="00327E9A"/>
    <w:rsid w:val="0033137B"/>
    <w:rsid w:val="00331491"/>
    <w:rsid w:val="00331E7F"/>
    <w:rsid w:val="003342F2"/>
    <w:rsid w:val="0033449D"/>
    <w:rsid w:val="00334F18"/>
    <w:rsid w:val="0033574E"/>
    <w:rsid w:val="003367F7"/>
    <w:rsid w:val="0033783A"/>
    <w:rsid w:val="00337CB5"/>
    <w:rsid w:val="003400F4"/>
    <w:rsid w:val="0034053B"/>
    <w:rsid w:val="0034058D"/>
    <w:rsid w:val="00340F6C"/>
    <w:rsid w:val="00340FE9"/>
    <w:rsid w:val="003410BF"/>
    <w:rsid w:val="003414F1"/>
    <w:rsid w:val="0034205C"/>
    <w:rsid w:val="0034264C"/>
    <w:rsid w:val="00343DD0"/>
    <w:rsid w:val="00345877"/>
    <w:rsid w:val="0034590A"/>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542D"/>
    <w:rsid w:val="00355BB0"/>
    <w:rsid w:val="003569D8"/>
    <w:rsid w:val="00356A0E"/>
    <w:rsid w:val="0035739B"/>
    <w:rsid w:val="00357554"/>
    <w:rsid w:val="003610EF"/>
    <w:rsid w:val="0036112F"/>
    <w:rsid w:val="00361381"/>
    <w:rsid w:val="003613E5"/>
    <w:rsid w:val="00361D7F"/>
    <w:rsid w:val="00361FD7"/>
    <w:rsid w:val="00362C41"/>
    <w:rsid w:val="00362F08"/>
    <w:rsid w:val="0036392E"/>
    <w:rsid w:val="00363EF0"/>
    <w:rsid w:val="00363FD3"/>
    <w:rsid w:val="003645C3"/>
    <w:rsid w:val="003649D4"/>
    <w:rsid w:val="003650E2"/>
    <w:rsid w:val="0036543C"/>
    <w:rsid w:val="003657A6"/>
    <w:rsid w:val="00365DE9"/>
    <w:rsid w:val="00365F70"/>
    <w:rsid w:val="0036602C"/>
    <w:rsid w:val="00366143"/>
    <w:rsid w:val="00366DCB"/>
    <w:rsid w:val="003706F3"/>
    <w:rsid w:val="00370B2D"/>
    <w:rsid w:val="00370C2A"/>
    <w:rsid w:val="00371277"/>
    <w:rsid w:val="0037255E"/>
    <w:rsid w:val="00372BF4"/>
    <w:rsid w:val="00373096"/>
    <w:rsid w:val="003731F4"/>
    <w:rsid w:val="00373DB8"/>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25B"/>
    <w:rsid w:val="003D43FC"/>
    <w:rsid w:val="003D52F8"/>
    <w:rsid w:val="003D53B2"/>
    <w:rsid w:val="003D5ED5"/>
    <w:rsid w:val="003D6E64"/>
    <w:rsid w:val="003D6F3A"/>
    <w:rsid w:val="003D78EF"/>
    <w:rsid w:val="003E02C0"/>
    <w:rsid w:val="003E032E"/>
    <w:rsid w:val="003E0984"/>
    <w:rsid w:val="003E15C3"/>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0F0A"/>
    <w:rsid w:val="004026E4"/>
    <w:rsid w:val="004028FF"/>
    <w:rsid w:val="00402AC1"/>
    <w:rsid w:val="00403183"/>
    <w:rsid w:val="00403527"/>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FAE"/>
    <w:rsid w:val="0041620C"/>
    <w:rsid w:val="00416935"/>
    <w:rsid w:val="00417CFF"/>
    <w:rsid w:val="00421018"/>
    <w:rsid w:val="00421191"/>
    <w:rsid w:val="00421AE1"/>
    <w:rsid w:val="00422031"/>
    <w:rsid w:val="004228A9"/>
    <w:rsid w:val="00423D73"/>
    <w:rsid w:val="00425354"/>
    <w:rsid w:val="004255D9"/>
    <w:rsid w:val="004257DF"/>
    <w:rsid w:val="00426714"/>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F70"/>
    <w:rsid w:val="00450040"/>
    <w:rsid w:val="00450246"/>
    <w:rsid w:val="004511F9"/>
    <w:rsid w:val="0045130F"/>
    <w:rsid w:val="00453482"/>
    <w:rsid w:val="00454B85"/>
    <w:rsid w:val="004551F4"/>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E59"/>
    <w:rsid w:val="00470216"/>
    <w:rsid w:val="00471407"/>
    <w:rsid w:val="00472238"/>
    <w:rsid w:val="0047268C"/>
    <w:rsid w:val="00472731"/>
    <w:rsid w:val="004733C5"/>
    <w:rsid w:val="00473582"/>
    <w:rsid w:val="0047470A"/>
    <w:rsid w:val="00474713"/>
    <w:rsid w:val="00474B88"/>
    <w:rsid w:val="004753BF"/>
    <w:rsid w:val="0047663A"/>
    <w:rsid w:val="004809A6"/>
    <w:rsid w:val="0048150A"/>
    <w:rsid w:val="004847B0"/>
    <w:rsid w:val="0048486C"/>
    <w:rsid w:val="0048499B"/>
    <w:rsid w:val="00484FA7"/>
    <w:rsid w:val="0048517C"/>
    <w:rsid w:val="0048542C"/>
    <w:rsid w:val="00486A2B"/>
    <w:rsid w:val="004873DE"/>
    <w:rsid w:val="004878DF"/>
    <w:rsid w:val="00490AB5"/>
    <w:rsid w:val="00490FDB"/>
    <w:rsid w:val="004910C8"/>
    <w:rsid w:val="004911E2"/>
    <w:rsid w:val="00491AE3"/>
    <w:rsid w:val="004920CC"/>
    <w:rsid w:val="0049249A"/>
    <w:rsid w:val="00492CD5"/>
    <w:rsid w:val="00493288"/>
    <w:rsid w:val="00493404"/>
    <w:rsid w:val="00493701"/>
    <w:rsid w:val="00493C9A"/>
    <w:rsid w:val="00495A3E"/>
    <w:rsid w:val="00495E5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B64"/>
    <w:rsid w:val="004B2949"/>
    <w:rsid w:val="004B2AF7"/>
    <w:rsid w:val="004B2B25"/>
    <w:rsid w:val="004B37E7"/>
    <w:rsid w:val="004B3895"/>
    <w:rsid w:val="004B403A"/>
    <w:rsid w:val="004B446D"/>
    <w:rsid w:val="004B49D6"/>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052"/>
    <w:rsid w:val="004C6712"/>
    <w:rsid w:val="004C6B4D"/>
    <w:rsid w:val="004C6B9D"/>
    <w:rsid w:val="004C7135"/>
    <w:rsid w:val="004C783B"/>
    <w:rsid w:val="004D27FA"/>
    <w:rsid w:val="004D330F"/>
    <w:rsid w:val="004D33D3"/>
    <w:rsid w:val="004D3482"/>
    <w:rsid w:val="004D38C1"/>
    <w:rsid w:val="004D51C5"/>
    <w:rsid w:val="004D65BB"/>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1FDE"/>
    <w:rsid w:val="00512295"/>
    <w:rsid w:val="00512BAA"/>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41452"/>
    <w:rsid w:val="0054210C"/>
    <w:rsid w:val="0054319F"/>
    <w:rsid w:val="0054389E"/>
    <w:rsid w:val="00543EC5"/>
    <w:rsid w:val="00543FAF"/>
    <w:rsid w:val="00544419"/>
    <w:rsid w:val="00545456"/>
    <w:rsid w:val="00545586"/>
    <w:rsid w:val="00545DE0"/>
    <w:rsid w:val="005464D2"/>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DC"/>
    <w:rsid w:val="005709E9"/>
    <w:rsid w:val="00570ED7"/>
    <w:rsid w:val="005719D8"/>
    <w:rsid w:val="00571D7A"/>
    <w:rsid w:val="0057227B"/>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EB1"/>
    <w:rsid w:val="00585F5D"/>
    <w:rsid w:val="005874AD"/>
    <w:rsid w:val="00587B61"/>
    <w:rsid w:val="00590012"/>
    <w:rsid w:val="005902E7"/>
    <w:rsid w:val="00590A3E"/>
    <w:rsid w:val="005918ED"/>
    <w:rsid w:val="00591A51"/>
    <w:rsid w:val="00592FEA"/>
    <w:rsid w:val="005939A6"/>
    <w:rsid w:val="00594043"/>
    <w:rsid w:val="005944DA"/>
    <w:rsid w:val="00594EDD"/>
    <w:rsid w:val="00594EE5"/>
    <w:rsid w:val="00596BE7"/>
    <w:rsid w:val="00597786"/>
    <w:rsid w:val="005A0197"/>
    <w:rsid w:val="005A024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2C"/>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6352"/>
    <w:rsid w:val="006066B3"/>
    <w:rsid w:val="00606832"/>
    <w:rsid w:val="00606EAC"/>
    <w:rsid w:val="006072D1"/>
    <w:rsid w:val="00607AA4"/>
    <w:rsid w:val="00607EA9"/>
    <w:rsid w:val="006106B6"/>
    <w:rsid w:val="00610D23"/>
    <w:rsid w:val="00610DE7"/>
    <w:rsid w:val="0061275D"/>
    <w:rsid w:val="0061281C"/>
    <w:rsid w:val="0061352E"/>
    <w:rsid w:val="006136AF"/>
    <w:rsid w:val="00613EEC"/>
    <w:rsid w:val="006149FA"/>
    <w:rsid w:val="00614AAC"/>
    <w:rsid w:val="00614BDE"/>
    <w:rsid w:val="0061507A"/>
    <w:rsid w:val="00616391"/>
    <w:rsid w:val="006164A4"/>
    <w:rsid w:val="006166E5"/>
    <w:rsid w:val="0061765F"/>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8D7"/>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337C"/>
    <w:rsid w:val="00653988"/>
    <w:rsid w:val="00654DB2"/>
    <w:rsid w:val="00655037"/>
    <w:rsid w:val="00655925"/>
    <w:rsid w:val="00656F81"/>
    <w:rsid w:val="00663769"/>
    <w:rsid w:val="00664CD1"/>
    <w:rsid w:val="0066538F"/>
    <w:rsid w:val="00665A89"/>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6597"/>
    <w:rsid w:val="006C65DD"/>
    <w:rsid w:val="006C6AC1"/>
    <w:rsid w:val="006C6D01"/>
    <w:rsid w:val="006C6DBE"/>
    <w:rsid w:val="006C75B6"/>
    <w:rsid w:val="006C77DB"/>
    <w:rsid w:val="006C7F52"/>
    <w:rsid w:val="006D097C"/>
    <w:rsid w:val="006D181D"/>
    <w:rsid w:val="006D1A54"/>
    <w:rsid w:val="006D1D76"/>
    <w:rsid w:val="006D2816"/>
    <w:rsid w:val="006D298D"/>
    <w:rsid w:val="006D3E29"/>
    <w:rsid w:val="006D429E"/>
    <w:rsid w:val="006D5080"/>
    <w:rsid w:val="006D51E6"/>
    <w:rsid w:val="006D52BC"/>
    <w:rsid w:val="006D69BF"/>
    <w:rsid w:val="006D7D02"/>
    <w:rsid w:val="006E0E79"/>
    <w:rsid w:val="006E16F0"/>
    <w:rsid w:val="006E17FB"/>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3017"/>
    <w:rsid w:val="006F4392"/>
    <w:rsid w:val="006F5399"/>
    <w:rsid w:val="006F5BD1"/>
    <w:rsid w:val="006F636B"/>
    <w:rsid w:val="006F7955"/>
    <w:rsid w:val="00700C43"/>
    <w:rsid w:val="00700EA5"/>
    <w:rsid w:val="00701A9E"/>
    <w:rsid w:val="00701E90"/>
    <w:rsid w:val="007020AF"/>
    <w:rsid w:val="007025D3"/>
    <w:rsid w:val="00702BFD"/>
    <w:rsid w:val="00702DFA"/>
    <w:rsid w:val="007031EF"/>
    <w:rsid w:val="007041F4"/>
    <w:rsid w:val="00704269"/>
    <w:rsid w:val="007059F9"/>
    <w:rsid w:val="00706149"/>
    <w:rsid w:val="0070702D"/>
    <w:rsid w:val="0070727E"/>
    <w:rsid w:val="007076AE"/>
    <w:rsid w:val="007079D8"/>
    <w:rsid w:val="00710D9A"/>
    <w:rsid w:val="00710EAC"/>
    <w:rsid w:val="00710FDC"/>
    <w:rsid w:val="007114D6"/>
    <w:rsid w:val="0071191B"/>
    <w:rsid w:val="00711AB4"/>
    <w:rsid w:val="00712DF5"/>
    <w:rsid w:val="00713078"/>
    <w:rsid w:val="00713194"/>
    <w:rsid w:val="00713D42"/>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D44"/>
    <w:rsid w:val="00735035"/>
    <w:rsid w:val="00735072"/>
    <w:rsid w:val="00735AD4"/>
    <w:rsid w:val="00736026"/>
    <w:rsid w:val="00736DD4"/>
    <w:rsid w:val="007376F8"/>
    <w:rsid w:val="00740116"/>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E09"/>
    <w:rsid w:val="00754613"/>
    <w:rsid w:val="007548A3"/>
    <w:rsid w:val="00756F5D"/>
    <w:rsid w:val="0075717C"/>
    <w:rsid w:val="007575C6"/>
    <w:rsid w:val="00760038"/>
    <w:rsid w:val="0076069B"/>
    <w:rsid w:val="00760AB2"/>
    <w:rsid w:val="00761495"/>
    <w:rsid w:val="007615D6"/>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1383"/>
    <w:rsid w:val="007A2037"/>
    <w:rsid w:val="007A2694"/>
    <w:rsid w:val="007A2F2F"/>
    <w:rsid w:val="007A3036"/>
    <w:rsid w:val="007A3414"/>
    <w:rsid w:val="007A3C46"/>
    <w:rsid w:val="007A4428"/>
    <w:rsid w:val="007A47F1"/>
    <w:rsid w:val="007A4CC0"/>
    <w:rsid w:val="007A4DF7"/>
    <w:rsid w:val="007A6035"/>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8F"/>
    <w:rsid w:val="007F395A"/>
    <w:rsid w:val="007F3E1D"/>
    <w:rsid w:val="007F4C9D"/>
    <w:rsid w:val="007F5709"/>
    <w:rsid w:val="007F5BB0"/>
    <w:rsid w:val="007F5BCB"/>
    <w:rsid w:val="007F5D86"/>
    <w:rsid w:val="007F5E53"/>
    <w:rsid w:val="007F5F09"/>
    <w:rsid w:val="007F6ACB"/>
    <w:rsid w:val="007F6F57"/>
    <w:rsid w:val="007F7317"/>
    <w:rsid w:val="00800E62"/>
    <w:rsid w:val="00801863"/>
    <w:rsid w:val="0080190D"/>
    <w:rsid w:val="0080229F"/>
    <w:rsid w:val="00803498"/>
    <w:rsid w:val="00803AC9"/>
    <w:rsid w:val="0080473B"/>
    <w:rsid w:val="00804C21"/>
    <w:rsid w:val="008050DF"/>
    <w:rsid w:val="00805B0A"/>
    <w:rsid w:val="00805F80"/>
    <w:rsid w:val="00806FBF"/>
    <w:rsid w:val="00810230"/>
    <w:rsid w:val="008107A3"/>
    <w:rsid w:val="00811ECE"/>
    <w:rsid w:val="00811F44"/>
    <w:rsid w:val="0081214E"/>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5A"/>
    <w:rsid w:val="00835F9D"/>
    <w:rsid w:val="0083719B"/>
    <w:rsid w:val="008371ED"/>
    <w:rsid w:val="00840516"/>
    <w:rsid w:val="00840F79"/>
    <w:rsid w:val="00840FD4"/>
    <w:rsid w:val="008423DF"/>
    <w:rsid w:val="00842450"/>
    <w:rsid w:val="00843173"/>
    <w:rsid w:val="008438F9"/>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4D2D"/>
    <w:rsid w:val="00855A04"/>
    <w:rsid w:val="00855C1C"/>
    <w:rsid w:val="00855FA6"/>
    <w:rsid w:val="00856B7F"/>
    <w:rsid w:val="00856E91"/>
    <w:rsid w:val="00857269"/>
    <w:rsid w:val="00860FE1"/>
    <w:rsid w:val="00861335"/>
    <w:rsid w:val="00861891"/>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0B2A"/>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5D31"/>
    <w:rsid w:val="00896448"/>
    <w:rsid w:val="00896790"/>
    <w:rsid w:val="0089684D"/>
    <w:rsid w:val="00897F25"/>
    <w:rsid w:val="008A1A47"/>
    <w:rsid w:val="008A25E0"/>
    <w:rsid w:val="008A3ABE"/>
    <w:rsid w:val="008A3B06"/>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0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2D1A"/>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435"/>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88D"/>
    <w:rsid w:val="00994C5E"/>
    <w:rsid w:val="0099601B"/>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390D"/>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6E67"/>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511C"/>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5DF5"/>
    <w:rsid w:val="00A66E38"/>
    <w:rsid w:val="00A67139"/>
    <w:rsid w:val="00A6722A"/>
    <w:rsid w:val="00A70011"/>
    <w:rsid w:val="00A701DE"/>
    <w:rsid w:val="00A706A4"/>
    <w:rsid w:val="00A70D2A"/>
    <w:rsid w:val="00A71450"/>
    <w:rsid w:val="00A7184C"/>
    <w:rsid w:val="00A7206A"/>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57"/>
    <w:rsid w:val="00AF00F4"/>
    <w:rsid w:val="00AF109C"/>
    <w:rsid w:val="00AF1149"/>
    <w:rsid w:val="00AF1176"/>
    <w:rsid w:val="00AF2B68"/>
    <w:rsid w:val="00AF32A1"/>
    <w:rsid w:val="00AF4796"/>
    <w:rsid w:val="00AF66D1"/>
    <w:rsid w:val="00AF71E7"/>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1A6"/>
    <w:rsid w:val="00B2624D"/>
    <w:rsid w:val="00B26280"/>
    <w:rsid w:val="00B26521"/>
    <w:rsid w:val="00B27B49"/>
    <w:rsid w:val="00B300F1"/>
    <w:rsid w:val="00B3100D"/>
    <w:rsid w:val="00B317F4"/>
    <w:rsid w:val="00B31F81"/>
    <w:rsid w:val="00B3244F"/>
    <w:rsid w:val="00B326AA"/>
    <w:rsid w:val="00B32D7D"/>
    <w:rsid w:val="00B337FB"/>
    <w:rsid w:val="00B35776"/>
    <w:rsid w:val="00B358EC"/>
    <w:rsid w:val="00B35968"/>
    <w:rsid w:val="00B3628A"/>
    <w:rsid w:val="00B37213"/>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62B2"/>
    <w:rsid w:val="00B46A9B"/>
    <w:rsid w:val="00B46C39"/>
    <w:rsid w:val="00B47B3F"/>
    <w:rsid w:val="00B47FD3"/>
    <w:rsid w:val="00B51598"/>
    <w:rsid w:val="00B51879"/>
    <w:rsid w:val="00B520E4"/>
    <w:rsid w:val="00B5251C"/>
    <w:rsid w:val="00B52584"/>
    <w:rsid w:val="00B52C0E"/>
    <w:rsid w:val="00B52E9E"/>
    <w:rsid w:val="00B536CF"/>
    <w:rsid w:val="00B53A8B"/>
    <w:rsid w:val="00B54915"/>
    <w:rsid w:val="00B54AA6"/>
    <w:rsid w:val="00B550C7"/>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75C8"/>
    <w:rsid w:val="00B677C8"/>
    <w:rsid w:val="00B67BF1"/>
    <w:rsid w:val="00B70D7F"/>
    <w:rsid w:val="00B70F14"/>
    <w:rsid w:val="00B71498"/>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BF9"/>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E0C2F"/>
    <w:rsid w:val="00BE1E76"/>
    <w:rsid w:val="00BE27E6"/>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012"/>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824"/>
    <w:rsid w:val="00C90A0A"/>
    <w:rsid w:val="00C917CF"/>
    <w:rsid w:val="00C9222D"/>
    <w:rsid w:val="00C923AC"/>
    <w:rsid w:val="00C92B62"/>
    <w:rsid w:val="00C94474"/>
    <w:rsid w:val="00C944E5"/>
    <w:rsid w:val="00C94BB9"/>
    <w:rsid w:val="00C94E5F"/>
    <w:rsid w:val="00C967BA"/>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5F3E"/>
    <w:rsid w:val="00CB7092"/>
    <w:rsid w:val="00CB7380"/>
    <w:rsid w:val="00CB7DFF"/>
    <w:rsid w:val="00CC02EF"/>
    <w:rsid w:val="00CC0457"/>
    <w:rsid w:val="00CC1151"/>
    <w:rsid w:val="00CC1247"/>
    <w:rsid w:val="00CC1D34"/>
    <w:rsid w:val="00CC26A4"/>
    <w:rsid w:val="00CC2892"/>
    <w:rsid w:val="00CC36FA"/>
    <w:rsid w:val="00CC39FF"/>
    <w:rsid w:val="00CC48C0"/>
    <w:rsid w:val="00CC4E5D"/>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7276"/>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C6B"/>
    <w:rsid w:val="00D11A60"/>
    <w:rsid w:val="00D122CB"/>
    <w:rsid w:val="00D1233C"/>
    <w:rsid w:val="00D12A79"/>
    <w:rsid w:val="00D12E1D"/>
    <w:rsid w:val="00D13443"/>
    <w:rsid w:val="00D13ADB"/>
    <w:rsid w:val="00D14333"/>
    <w:rsid w:val="00D15D6D"/>
    <w:rsid w:val="00D1632A"/>
    <w:rsid w:val="00D1690F"/>
    <w:rsid w:val="00D16FC3"/>
    <w:rsid w:val="00D17195"/>
    <w:rsid w:val="00D17645"/>
    <w:rsid w:val="00D17A81"/>
    <w:rsid w:val="00D20881"/>
    <w:rsid w:val="00D20B66"/>
    <w:rsid w:val="00D20D7B"/>
    <w:rsid w:val="00D21FD4"/>
    <w:rsid w:val="00D2341F"/>
    <w:rsid w:val="00D24408"/>
    <w:rsid w:val="00D253D7"/>
    <w:rsid w:val="00D2579B"/>
    <w:rsid w:val="00D265B1"/>
    <w:rsid w:val="00D30B9D"/>
    <w:rsid w:val="00D311B1"/>
    <w:rsid w:val="00D31DBE"/>
    <w:rsid w:val="00D32150"/>
    <w:rsid w:val="00D32A8D"/>
    <w:rsid w:val="00D3316E"/>
    <w:rsid w:val="00D335C9"/>
    <w:rsid w:val="00D33789"/>
    <w:rsid w:val="00D33997"/>
    <w:rsid w:val="00D343E5"/>
    <w:rsid w:val="00D354C5"/>
    <w:rsid w:val="00D354EC"/>
    <w:rsid w:val="00D357B8"/>
    <w:rsid w:val="00D35A2B"/>
    <w:rsid w:val="00D3646A"/>
    <w:rsid w:val="00D36819"/>
    <w:rsid w:val="00D37614"/>
    <w:rsid w:val="00D37A83"/>
    <w:rsid w:val="00D37F23"/>
    <w:rsid w:val="00D400BD"/>
    <w:rsid w:val="00D400C0"/>
    <w:rsid w:val="00D404CF"/>
    <w:rsid w:val="00D41DC6"/>
    <w:rsid w:val="00D427EE"/>
    <w:rsid w:val="00D42C98"/>
    <w:rsid w:val="00D42F51"/>
    <w:rsid w:val="00D435D8"/>
    <w:rsid w:val="00D446EE"/>
    <w:rsid w:val="00D45027"/>
    <w:rsid w:val="00D45A02"/>
    <w:rsid w:val="00D46562"/>
    <w:rsid w:val="00D47326"/>
    <w:rsid w:val="00D4741C"/>
    <w:rsid w:val="00D47B95"/>
    <w:rsid w:val="00D5001B"/>
    <w:rsid w:val="00D504D3"/>
    <w:rsid w:val="00D507CA"/>
    <w:rsid w:val="00D511D5"/>
    <w:rsid w:val="00D51D40"/>
    <w:rsid w:val="00D52024"/>
    <w:rsid w:val="00D52226"/>
    <w:rsid w:val="00D52516"/>
    <w:rsid w:val="00D52804"/>
    <w:rsid w:val="00D52D0A"/>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DC2"/>
    <w:rsid w:val="00D67701"/>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2E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AA"/>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52B"/>
    <w:rsid w:val="00E16871"/>
    <w:rsid w:val="00E1687A"/>
    <w:rsid w:val="00E16DBD"/>
    <w:rsid w:val="00E1777E"/>
    <w:rsid w:val="00E178D9"/>
    <w:rsid w:val="00E17CE8"/>
    <w:rsid w:val="00E204FF"/>
    <w:rsid w:val="00E20617"/>
    <w:rsid w:val="00E20977"/>
    <w:rsid w:val="00E2463E"/>
    <w:rsid w:val="00E24CCB"/>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011"/>
    <w:rsid w:val="00E534CD"/>
    <w:rsid w:val="00E5368B"/>
    <w:rsid w:val="00E55A14"/>
    <w:rsid w:val="00E564B8"/>
    <w:rsid w:val="00E56674"/>
    <w:rsid w:val="00E567A9"/>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96D"/>
    <w:rsid w:val="00E8517A"/>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F57"/>
    <w:rsid w:val="00EA7817"/>
    <w:rsid w:val="00EA7C69"/>
    <w:rsid w:val="00EB02EB"/>
    <w:rsid w:val="00EB05FF"/>
    <w:rsid w:val="00EB1A5E"/>
    <w:rsid w:val="00EB1BC9"/>
    <w:rsid w:val="00EB219E"/>
    <w:rsid w:val="00EB2756"/>
    <w:rsid w:val="00EB27CB"/>
    <w:rsid w:val="00EB2D06"/>
    <w:rsid w:val="00EB3318"/>
    <w:rsid w:val="00EB40F2"/>
    <w:rsid w:val="00EB42FA"/>
    <w:rsid w:val="00EB496E"/>
    <w:rsid w:val="00EB4A19"/>
    <w:rsid w:val="00EB5B77"/>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081"/>
    <w:rsid w:val="00EF3119"/>
    <w:rsid w:val="00EF34FF"/>
    <w:rsid w:val="00EF3F8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1469"/>
    <w:rsid w:val="00F2162C"/>
    <w:rsid w:val="00F21729"/>
    <w:rsid w:val="00F2187E"/>
    <w:rsid w:val="00F221AF"/>
    <w:rsid w:val="00F23B66"/>
    <w:rsid w:val="00F23EFB"/>
    <w:rsid w:val="00F24272"/>
    <w:rsid w:val="00F2469F"/>
    <w:rsid w:val="00F24704"/>
    <w:rsid w:val="00F25316"/>
    <w:rsid w:val="00F25928"/>
    <w:rsid w:val="00F26A5F"/>
    <w:rsid w:val="00F26C75"/>
    <w:rsid w:val="00F26D6E"/>
    <w:rsid w:val="00F277FB"/>
    <w:rsid w:val="00F27DAF"/>
    <w:rsid w:val="00F30DFD"/>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598934">
      <w:bodyDiv w:val="1"/>
      <w:marLeft w:val="0"/>
      <w:marRight w:val="0"/>
      <w:marTop w:val="0"/>
      <w:marBottom w:val="0"/>
      <w:divBdr>
        <w:top w:val="none" w:sz="0" w:space="0" w:color="auto"/>
        <w:left w:val="none" w:sz="0" w:space="0" w:color="auto"/>
        <w:bottom w:val="none" w:sz="0" w:space="0" w:color="auto"/>
        <w:right w:val="none" w:sz="0" w:space="0" w:color="auto"/>
      </w:divBdr>
      <w:divsChild>
        <w:div w:id="1935824408">
          <w:marLeft w:val="0"/>
          <w:marRight w:val="0"/>
          <w:marTop w:val="0"/>
          <w:marBottom w:val="0"/>
          <w:divBdr>
            <w:top w:val="none" w:sz="0" w:space="0" w:color="auto"/>
            <w:left w:val="none" w:sz="0" w:space="0" w:color="auto"/>
            <w:bottom w:val="none" w:sz="0" w:space="0" w:color="auto"/>
            <w:right w:val="none" w:sz="0" w:space="0" w:color="auto"/>
          </w:divBdr>
        </w:div>
      </w:divsChild>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4468946">
      <w:bodyDiv w:val="1"/>
      <w:marLeft w:val="0"/>
      <w:marRight w:val="0"/>
      <w:marTop w:val="0"/>
      <w:marBottom w:val="0"/>
      <w:divBdr>
        <w:top w:val="none" w:sz="0" w:space="0" w:color="auto"/>
        <w:left w:val="none" w:sz="0" w:space="0" w:color="auto"/>
        <w:bottom w:val="none" w:sz="0" w:space="0" w:color="auto"/>
        <w:right w:val="none" w:sz="0" w:space="0" w:color="auto"/>
      </w:divBdr>
      <w:divsChild>
        <w:div w:id="498471587">
          <w:marLeft w:val="0"/>
          <w:marRight w:val="0"/>
          <w:marTop w:val="0"/>
          <w:marBottom w:val="0"/>
          <w:divBdr>
            <w:top w:val="none" w:sz="0" w:space="0" w:color="auto"/>
            <w:left w:val="none" w:sz="0" w:space="0" w:color="auto"/>
            <w:bottom w:val="none" w:sz="0" w:space="0" w:color="auto"/>
            <w:right w:val="none" w:sz="0" w:space="0" w:color="auto"/>
          </w:divBdr>
        </w:div>
      </w:divsChild>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377084">
      <w:bodyDiv w:val="1"/>
      <w:marLeft w:val="0"/>
      <w:marRight w:val="0"/>
      <w:marTop w:val="0"/>
      <w:marBottom w:val="0"/>
      <w:divBdr>
        <w:top w:val="none" w:sz="0" w:space="0" w:color="auto"/>
        <w:left w:val="none" w:sz="0" w:space="0" w:color="auto"/>
        <w:bottom w:val="none" w:sz="0" w:space="0" w:color="auto"/>
        <w:right w:val="none" w:sz="0" w:space="0" w:color="auto"/>
      </w:divBdr>
      <w:divsChild>
        <w:div w:id="1854419945">
          <w:marLeft w:val="0"/>
          <w:marRight w:val="0"/>
          <w:marTop w:val="0"/>
          <w:marBottom w:val="0"/>
          <w:divBdr>
            <w:top w:val="none" w:sz="0" w:space="0" w:color="auto"/>
            <w:left w:val="none" w:sz="0" w:space="0" w:color="auto"/>
            <w:bottom w:val="none" w:sz="0" w:space="0" w:color="auto"/>
            <w:right w:val="none" w:sz="0" w:space="0" w:color="auto"/>
          </w:divBdr>
        </w:div>
      </w:divsChild>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6022705">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6">
          <w:marLeft w:val="0"/>
          <w:marRight w:val="0"/>
          <w:marTop w:val="0"/>
          <w:marBottom w:val="0"/>
          <w:divBdr>
            <w:top w:val="none" w:sz="0" w:space="0" w:color="auto"/>
            <w:left w:val="none" w:sz="0" w:space="0" w:color="auto"/>
            <w:bottom w:val="none" w:sz="0" w:space="0" w:color="auto"/>
            <w:right w:val="none" w:sz="0" w:space="0" w:color="auto"/>
          </w:divBdr>
        </w:div>
      </w:divsChild>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65999099">
      <w:bodyDiv w:val="1"/>
      <w:marLeft w:val="0"/>
      <w:marRight w:val="0"/>
      <w:marTop w:val="0"/>
      <w:marBottom w:val="0"/>
      <w:divBdr>
        <w:top w:val="none" w:sz="0" w:space="0" w:color="auto"/>
        <w:left w:val="none" w:sz="0" w:space="0" w:color="auto"/>
        <w:bottom w:val="none" w:sz="0" w:space="0" w:color="auto"/>
        <w:right w:val="none" w:sz="0" w:space="0" w:color="auto"/>
      </w:divBdr>
      <w:divsChild>
        <w:div w:id="524637568">
          <w:marLeft w:val="0"/>
          <w:marRight w:val="0"/>
          <w:marTop w:val="0"/>
          <w:marBottom w:val="0"/>
          <w:divBdr>
            <w:top w:val="none" w:sz="0" w:space="0" w:color="auto"/>
            <w:left w:val="none" w:sz="0" w:space="0" w:color="auto"/>
            <w:bottom w:val="none" w:sz="0" w:space="0" w:color="auto"/>
            <w:right w:val="none" w:sz="0" w:space="0" w:color="auto"/>
          </w:divBdr>
        </w:div>
      </w:divsChild>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84902079">
      <w:bodyDiv w:val="1"/>
      <w:marLeft w:val="0"/>
      <w:marRight w:val="0"/>
      <w:marTop w:val="0"/>
      <w:marBottom w:val="0"/>
      <w:divBdr>
        <w:top w:val="none" w:sz="0" w:space="0" w:color="auto"/>
        <w:left w:val="none" w:sz="0" w:space="0" w:color="auto"/>
        <w:bottom w:val="none" w:sz="0" w:space="0" w:color="auto"/>
        <w:right w:val="none" w:sz="0" w:space="0" w:color="auto"/>
      </w:divBdr>
      <w:divsChild>
        <w:div w:id="1061757085">
          <w:marLeft w:val="0"/>
          <w:marRight w:val="0"/>
          <w:marTop w:val="0"/>
          <w:marBottom w:val="0"/>
          <w:divBdr>
            <w:top w:val="none" w:sz="0" w:space="0" w:color="auto"/>
            <w:left w:val="none" w:sz="0" w:space="0" w:color="auto"/>
            <w:bottom w:val="none" w:sz="0" w:space="0" w:color="auto"/>
            <w:right w:val="none" w:sz="0" w:space="0" w:color="auto"/>
          </w:divBdr>
        </w:div>
      </w:divsChild>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4434857">
      <w:bodyDiv w:val="1"/>
      <w:marLeft w:val="0"/>
      <w:marRight w:val="0"/>
      <w:marTop w:val="0"/>
      <w:marBottom w:val="0"/>
      <w:divBdr>
        <w:top w:val="none" w:sz="0" w:space="0" w:color="auto"/>
        <w:left w:val="none" w:sz="0" w:space="0" w:color="auto"/>
        <w:bottom w:val="none" w:sz="0" w:space="0" w:color="auto"/>
        <w:right w:val="none" w:sz="0" w:space="0" w:color="auto"/>
      </w:divBdr>
      <w:divsChild>
        <w:div w:id="701325841">
          <w:marLeft w:val="0"/>
          <w:marRight w:val="0"/>
          <w:marTop w:val="0"/>
          <w:marBottom w:val="0"/>
          <w:divBdr>
            <w:top w:val="none" w:sz="0" w:space="0" w:color="auto"/>
            <w:left w:val="none" w:sz="0" w:space="0" w:color="auto"/>
            <w:bottom w:val="none" w:sz="0" w:space="0" w:color="auto"/>
            <w:right w:val="none" w:sz="0" w:space="0" w:color="auto"/>
          </w:divBdr>
        </w:div>
      </w:divsChild>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5759584">
      <w:bodyDiv w:val="1"/>
      <w:marLeft w:val="0"/>
      <w:marRight w:val="0"/>
      <w:marTop w:val="0"/>
      <w:marBottom w:val="0"/>
      <w:divBdr>
        <w:top w:val="none" w:sz="0" w:space="0" w:color="auto"/>
        <w:left w:val="none" w:sz="0" w:space="0" w:color="auto"/>
        <w:bottom w:val="none" w:sz="0" w:space="0" w:color="auto"/>
        <w:right w:val="none" w:sz="0" w:space="0" w:color="auto"/>
      </w:divBdr>
      <w:divsChild>
        <w:div w:id="1408771691">
          <w:marLeft w:val="0"/>
          <w:marRight w:val="0"/>
          <w:marTop w:val="0"/>
          <w:marBottom w:val="0"/>
          <w:divBdr>
            <w:top w:val="none" w:sz="0" w:space="0" w:color="auto"/>
            <w:left w:val="none" w:sz="0" w:space="0" w:color="auto"/>
            <w:bottom w:val="none" w:sz="0" w:space="0" w:color="auto"/>
            <w:right w:val="none" w:sz="0" w:space="0" w:color="auto"/>
          </w:divBdr>
        </w:div>
      </w:divsChild>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4589514">
      <w:bodyDiv w:val="1"/>
      <w:marLeft w:val="0"/>
      <w:marRight w:val="0"/>
      <w:marTop w:val="0"/>
      <w:marBottom w:val="0"/>
      <w:divBdr>
        <w:top w:val="none" w:sz="0" w:space="0" w:color="auto"/>
        <w:left w:val="none" w:sz="0" w:space="0" w:color="auto"/>
        <w:bottom w:val="none" w:sz="0" w:space="0" w:color="auto"/>
        <w:right w:val="none" w:sz="0" w:space="0" w:color="auto"/>
      </w:divBdr>
      <w:divsChild>
        <w:div w:id="331221733">
          <w:marLeft w:val="0"/>
          <w:marRight w:val="0"/>
          <w:marTop w:val="0"/>
          <w:marBottom w:val="0"/>
          <w:divBdr>
            <w:top w:val="none" w:sz="0" w:space="0" w:color="auto"/>
            <w:left w:val="none" w:sz="0" w:space="0" w:color="auto"/>
            <w:bottom w:val="none" w:sz="0" w:space="0" w:color="auto"/>
            <w:right w:val="none" w:sz="0" w:space="0" w:color="auto"/>
          </w:divBdr>
        </w:div>
      </w:divsChild>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28540940">
      <w:bodyDiv w:val="1"/>
      <w:marLeft w:val="0"/>
      <w:marRight w:val="0"/>
      <w:marTop w:val="0"/>
      <w:marBottom w:val="0"/>
      <w:divBdr>
        <w:top w:val="none" w:sz="0" w:space="0" w:color="auto"/>
        <w:left w:val="none" w:sz="0" w:space="0" w:color="auto"/>
        <w:bottom w:val="none" w:sz="0" w:space="0" w:color="auto"/>
        <w:right w:val="none" w:sz="0" w:space="0" w:color="auto"/>
      </w:divBdr>
      <w:divsChild>
        <w:div w:id="1148471607">
          <w:marLeft w:val="0"/>
          <w:marRight w:val="0"/>
          <w:marTop w:val="0"/>
          <w:marBottom w:val="0"/>
          <w:divBdr>
            <w:top w:val="none" w:sz="0" w:space="0" w:color="auto"/>
            <w:left w:val="none" w:sz="0" w:space="0" w:color="auto"/>
            <w:bottom w:val="none" w:sz="0" w:space="0" w:color="auto"/>
            <w:right w:val="none" w:sz="0" w:space="0" w:color="auto"/>
          </w:divBdr>
        </w:div>
      </w:divsChild>
    </w:div>
    <w:div w:id="1929998130">
      <w:bodyDiv w:val="1"/>
      <w:marLeft w:val="0"/>
      <w:marRight w:val="0"/>
      <w:marTop w:val="0"/>
      <w:marBottom w:val="0"/>
      <w:divBdr>
        <w:top w:val="none" w:sz="0" w:space="0" w:color="auto"/>
        <w:left w:val="none" w:sz="0" w:space="0" w:color="auto"/>
        <w:bottom w:val="none" w:sz="0" w:space="0" w:color="auto"/>
        <w:right w:val="none" w:sz="0" w:space="0" w:color="auto"/>
      </w:divBdr>
      <w:divsChild>
        <w:div w:id="882982926">
          <w:marLeft w:val="0"/>
          <w:marRight w:val="0"/>
          <w:marTop w:val="0"/>
          <w:marBottom w:val="0"/>
          <w:divBdr>
            <w:top w:val="none" w:sz="0" w:space="0" w:color="auto"/>
            <w:left w:val="none" w:sz="0" w:space="0" w:color="auto"/>
            <w:bottom w:val="none" w:sz="0" w:space="0" w:color="auto"/>
            <w:right w:val="none" w:sz="0" w:space="0" w:color="auto"/>
          </w:divBdr>
        </w:div>
      </w:divsChild>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1544999">
      <w:bodyDiv w:val="1"/>
      <w:marLeft w:val="0"/>
      <w:marRight w:val="0"/>
      <w:marTop w:val="0"/>
      <w:marBottom w:val="0"/>
      <w:divBdr>
        <w:top w:val="none" w:sz="0" w:space="0" w:color="auto"/>
        <w:left w:val="none" w:sz="0" w:space="0" w:color="auto"/>
        <w:bottom w:val="none" w:sz="0" w:space="0" w:color="auto"/>
        <w:right w:val="none" w:sz="0" w:space="0" w:color="auto"/>
      </w:divBdr>
      <w:divsChild>
        <w:div w:id="1380980394">
          <w:marLeft w:val="0"/>
          <w:marRight w:val="0"/>
          <w:marTop w:val="0"/>
          <w:marBottom w:val="0"/>
          <w:divBdr>
            <w:top w:val="none" w:sz="0" w:space="0" w:color="auto"/>
            <w:left w:val="none" w:sz="0" w:space="0" w:color="auto"/>
            <w:bottom w:val="none" w:sz="0" w:space="0" w:color="auto"/>
            <w:right w:val="none" w:sz="0" w:space="0" w:color="auto"/>
          </w:divBdr>
        </w:div>
      </w:divsChild>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0668488">
      <w:bodyDiv w:val="1"/>
      <w:marLeft w:val="0"/>
      <w:marRight w:val="0"/>
      <w:marTop w:val="0"/>
      <w:marBottom w:val="0"/>
      <w:divBdr>
        <w:top w:val="none" w:sz="0" w:space="0" w:color="auto"/>
        <w:left w:val="none" w:sz="0" w:space="0" w:color="auto"/>
        <w:bottom w:val="none" w:sz="0" w:space="0" w:color="auto"/>
        <w:right w:val="none" w:sz="0" w:space="0" w:color="auto"/>
      </w:divBdr>
      <w:divsChild>
        <w:div w:id="698512892">
          <w:marLeft w:val="0"/>
          <w:marRight w:val="0"/>
          <w:marTop w:val="0"/>
          <w:marBottom w:val="0"/>
          <w:divBdr>
            <w:top w:val="none" w:sz="0" w:space="0" w:color="auto"/>
            <w:left w:val="none" w:sz="0" w:space="0" w:color="auto"/>
            <w:bottom w:val="none" w:sz="0" w:space="0" w:color="auto"/>
            <w:right w:val="none" w:sz="0" w:space="0" w:color="auto"/>
          </w:divBdr>
        </w:div>
      </w:divsChild>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3440</TotalTime>
  <Pages>10</Pages>
  <Words>642</Words>
  <Characters>3663</Characters>
  <Application>Microsoft Office Word</Application>
  <DocSecurity>0</DocSecurity>
  <Lines>30</Lines>
  <Paragraphs>8</Paragraphs>
  <ScaleCrop>false</ScaleCrop>
  <Company>cicc</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71</cp:revision>
  <cp:lastPrinted>2014-12-12T08:51:00Z</cp:lastPrinted>
  <dcterms:created xsi:type="dcterms:W3CDTF">2017-02-09T08:52:00Z</dcterms:created>
  <dcterms:modified xsi:type="dcterms:W3CDTF">2017-09-11T03:31:00Z</dcterms:modified>
</cp:coreProperties>
</file>