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880B2A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880B2A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107.7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DB52E9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关注山东甲醇装置开车情况</w:t>
                  </w:r>
                </w:p>
              </w:txbxContent>
            </v:textbox>
          </v:shape>
        </w:pict>
      </w:r>
      <w:r w:rsidRPr="00880B2A">
        <w:rPr>
          <w:rFonts w:ascii="宋体" w:hAnsi="宋体" w:cs="Arial"/>
          <w:szCs w:val="21"/>
        </w:rPr>
      </w:r>
      <w:r w:rsidRPr="00880B2A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              2017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2A473F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1D57D8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21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Default="00DD34A6" w:rsidP="00F81AB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STXihei" w:hAnsi="STXihei" w:cs="STXihei"/>
          <w:color w:val="000000"/>
          <w:kern w:val="0"/>
          <w:szCs w:val="21"/>
        </w:rPr>
      </w:pPr>
      <w:r w:rsidRPr="00E26E25">
        <w:rPr>
          <w:rFonts w:hint="eastAsia"/>
          <w:szCs w:val="21"/>
        </w:rPr>
        <w:t>本周甲醇</w:t>
      </w:r>
      <w:r w:rsidR="0081214E">
        <w:rPr>
          <w:rFonts w:hint="eastAsia"/>
          <w:szCs w:val="21"/>
        </w:rPr>
        <w:t>继续走强</w:t>
      </w:r>
      <w:r w:rsidR="008E0289" w:rsidRPr="00E26E25">
        <w:rPr>
          <w:rFonts w:hint="eastAsia"/>
          <w:szCs w:val="21"/>
        </w:rPr>
        <w:t>。</w:t>
      </w:r>
      <w:r w:rsidR="004511F9">
        <w:rPr>
          <w:rFonts w:hint="eastAsia"/>
          <w:szCs w:val="21"/>
        </w:rPr>
        <w:t>1801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81214E">
        <w:rPr>
          <w:rFonts w:hint="eastAsia"/>
          <w:szCs w:val="21"/>
        </w:rPr>
        <w:t>2635</w:t>
      </w:r>
      <w:r w:rsidR="00FA3E4C" w:rsidRPr="00E26E25">
        <w:rPr>
          <w:rFonts w:hint="eastAsia"/>
          <w:szCs w:val="21"/>
        </w:rPr>
        <w:t>，周最高</w:t>
      </w:r>
      <w:r w:rsidR="00804C21" w:rsidRPr="00E26E25">
        <w:rPr>
          <w:rFonts w:hint="eastAsia"/>
          <w:szCs w:val="21"/>
        </w:rPr>
        <w:t>2</w:t>
      </w:r>
      <w:r w:rsidR="0081214E">
        <w:rPr>
          <w:rFonts w:hint="eastAsia"/>
          <w:szCs w:val="21"/>
        </w:rPr>
        <w:t>709</w:t>
      </w:r>
      <w:r w:rsidR="00FA3E4C" w:rsidRPr="00E26E25">
        <w:rPr>
          <w:rFonts w:hint="eastAsia"/>
          <w:szCs w:val="21"/>
        </w:rPr>
        <w:t>，最低</w:t>
      </w:r>
      <w:r w:rsidR="007F3E1D" w:rsidRPr="00E26E25">
        <w:rPr>
          <w:rFonts w:hint="eastAsia"/>
          <w:szCs w:val="21"/>
        </w:rPr>
        <w:t>2</w:t>
      </w:r>
      <w:r w:rsidR="0081214E">
        <w:rPr>
          <w:rFonts w:hint="eastAsia"/>
          <w:szCs w:val="21"/>
        </w:rPr>
        <w:t>572</w:t>
      </w:r>
      <w:r w:rsidR="00FA3E4C" w:rsidRPr="00E26E25">
        <w:rPr>
          <w:rFonts w:hint="eastAsia"/>
          <w:szCs w:val="21"/>
        </w:rPr>
        <w:t>，收盘</w:t>
      </w:r>
      <w:r w:rsidR="007F3E1D" w:rsidRPr="00E26E25">
        <w:rPr>
          <w:rFonts w:hint="eastAsia"/>
          <w:szCs w:val="21"/>
        </w:rPr>
        <w:t>2</w:t>
      </w:r>
      <w:r w:rsidR="0081214E">
        <w:rPr>
          <w:rFonts w:hint="eastAsia"/>
          <w:szCs w:val="21"/>
        </w:rPr>
        <w:t>694</w:t>
      </w:r>
      <w:r w:rsidR="002516D0" w:rsidRPr="00E26E25">
        <w:rPr>
          <w:rFonts w:hint="eastAsia"/>
          <w:szCs w:val="21"/>
        </w:rPr>
        <w:t>，较上周</w:t>
      </w:r>
      <w:r w:rsidR="00610DE7">
        <w:rPr>
          <w:rFonts w:hint="eastAsia"/>
          <w:szCs w:val="21"/>
        </w:rPr>
        <w:t>涨</w:t>
      </w:r>
      <w:r w:rsidR="0081214E">
        <w:rPr>
          <w:rFonts w:hint="eastAsia"/>
          <w:szCs w:val="21"/>
        </w:rPr>
        <w:t>65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 w:rsidR="0081214E">
        <w:rPr>
          <w:rFonts w:hint="eastAsia"/>
          <w:szCs w:val="21"/>
        </w:rPr>
        <w:t>310.4</w:t>
      </w:r>
      <w:r w:rsidR="00804C21" w:rsidRPr="00E26E25">
        <w:rPr>
          <w:rFonts w:hint="eastAsia"/>
          <w:szCs w:val="21"/>
        </w:rPr>
        <w:t>万手，</w:t>
      </w:r>
      <w:r w:rsidR="0081214E">
        <w:rPr>
          <w:rFonts w:hint="eastAsia"/>
          <w:szCs w:val="21"/>
        </w:rPr>
        <w:t>减</w:t>
      </w:r>
      <w:r w:rsidR="0081214E">
        <w:rPr>
          <w:rFonts w:hint="eastAsia"/>
          <w:szCs w:val="21"/>
        </w:rPr>
        <w:t>87.9</w:t>
      </w:r>
      <w:r w:rsidR="00FA3E4C" w:rsidRPr="00E26E25">
        <w:rPr>
          <w:rFonts w:hint="eastAsia"/>
          <w:szCs w:val="21"/>
        </w:rPr>
        <w:t>万手，持仓</w:t>
      </w:r>
      <w:r w:rsidR="0081214E">
        <w:rPr>
          <w:rFonts w:hint="eastAsia"/>
          <w:szCs w:val="21"/>
        </w:rPr>
        <w:t>54.6</w:t>
      </w:r>
      <w:r w:rsidR="00FA3E4C" w:rsidRPr="00E26E25">
        <w:rPr>
          <w:rFonts w:hint="eastAsia"/>
          <w:szCs w:val="21"/>
        </w:rPr>
        <w:t>万手，</w:t>
      </w:r>
      <w:r w:rsidR="003D425B">
        <w:rPr>
          <w:rFonts w:hint="eastAsia"/>
          <w:szCs w:val="21"/>
        </w:rPr>
        <w:t>增</w:t>
      </w:r>
      <w:r w:rsidR="0081214E">
        <w:rPr>
          <w:rFonts w:hint="eastAsia"/>
          <w:szCs w:val="21"/>
        </w:rPr>
        <w:t>1.2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1D57D8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1D57D8" w:rsidRDefault="001D57D8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1D57D8" w:rsidRDefault="0081214E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2635</w:t>
            </w:r>
          </w:p>
        </w:tc>
        <w:tc>
          <w:tcPr>
            <w:tcW w:w="3438" w:type="dxa"/>
          </w:tcPr>
          <w:p w:rsidR="001D57D8" w:rsidRDefault="001D57D8" w:rsidP="007E1AE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2602</w:t>
            </w:r>
          </w:p>
        </w:tc>
      </w:tr>
      <w:tr w:rsidR="001D57D8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1D57D8" w:rsidRDefault="001D57D8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1D57D8" w:rsidRDefault="0081214E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2709</w:t>
            </w:r>
          </w:p>
        </w:tc>
        <w:tc>
          <w:tcPr>
            <w:tcW w:w="3438" w:type="dxa"/>
          </w:tcPr>
          <w:p w:rsidR="001D57D8" w:rsidRDefault="001D57D8" w:rsidP="007E1AE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2701</w:t>
            </w:r>
          </w:p>
        </w:tc>
      </w:tr>
      <w:tr w:rsidR="001D57D8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1D57D8" w:rsidRDefault="001D57D8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1D57D8" w:rsidRDefault="0081214E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2572</w:t>
            </w:r>
          </w:p>
        </w:tc>
        <w:tc>
          <w:tcPr>
            <w:tcW w:w="3438" w:type="dxa"/>
          </w:tcPr>
          <w:p w:rsidR="001D57D8" w:rsidRDefault="001D57D8" w:rsidP="007E1AE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2550</w:t>
            </w:r>
          </w:p>
        </w:tc>
      </w:tr>
      <w:tr w:rsidR="001D57D8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1D57D8" w:rsidRDefault="001D57D8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1D57D8" w:rsidRDefault="0081214E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2694</w:t>
            </w:r>
          </w:p>
        </w:tc>
        <w:tc>
          <w:tcPr>
            <w:tcW w:w="3438" w:type="dxa"/>
          </w:tcPr>
          <w:p w:rsidR="001D57D8" w:rsidRDefault="001D57D8" w:rsidP="007E1AE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2629</w:t>
            </w:r>
          </w:p>
        </w:tc>
      </w:tr>
      <w:tr w:rsidR="001D57D8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1D57D8" w:rsidRDefault="001D57D8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1D57D8" w:rsidRDefault="0081214E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310.4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1D57D8" w:rsidRDefault="001D57D8" w:rsidP="007E1AE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398.3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1D57D8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1D57D8" w:rsidRDefault="001D57D8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1D57D8" w:rsidRDefault="0081214E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54.6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1D57D8" w:rsidRDefault="001D57D8" w:rsidP="007E1AE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53.4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217FA2" w:rsidRDefault="00964CCA" w:rsidP="00217FA2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8D7629" w:rsidRPr="00217FA2" w:rsidRDefault="0081214E" w:rsidP="00217FA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42135" cy="3364302"/>
            <wp:effectExtent l="19050" t="0" r="0" b="0"/>
            <wp:docPr id="3" name="图片 2" descr="C:\Users\Administrator\AppData\Roaming\Tencent\Users\276171027\QQ\WinTemp\RichOle\P$UP8DM7O8M({H$399YEY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76171027\QQ\WinTemp\RichOle\P$UP8DM7O8M({H$399YEYM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010" cy="336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964CCA" w:rsidRDefault="00964CCA" w:rsidP="00964CCA">
      <w:pPr>
        <w:jc w:val="left"/>
        <w:rPr>
          <w:rFonts w:ascii="黑体" w:eastAsia="黑体" w:hAnsi="宋体"/>
          <w:bCs/>
          <w:color w:val="000000"/>
          <w:sz w:val="24"/>
        </w:rPr>
      </w:pPr>
      <w:r w:rsidRPr="00B52C0E">
        <w:rPr>
          <w:rFonts w:ascii="STXihei" w:hAnsi="STXihei" w:cs="STXihei" w:hint="eastAsia"/>
          <w:color w:val="000000"/>
          <w:kern w:val="0"/>
          <w:szCs w:val="21"/>
        </w:rPr>
        <w:t>Brent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原油</w:t>
      </w:r>
      <w:r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964CCA" w:rsidRPr="00964CCA" w:rsidRDefault="0081214E" w:rsidP="00964CC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519773" cy="3683479"/>
            <wp:effectExtent l="19050" t="0" r="0" b="0"/>
            <wp:docPr id="5" name="图片 4" descr="C:\Users\Administrator\AppData\Roaming\Tencent\Users\276171027\QQ\WinTemp\RichOle\1M8[_UPZT2OE1Y0`E@RYR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276171027\QQ\WinTemp\RichOle\1M8[_UPZT2OE1Y0`E@RYRC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18" cy="368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CA" w:rsidRDefault="00B52C0E" w:rsidP="00B52C0E">
      <w:pPr>
        <w:jc w:val="right"/>
        <w:rPr>
          <w:rFonts w:ascii="STXihei" w:hAnsi="STXihei" w:cs="STXihei"/>
          <w:color w:val="000000"/>
          <w:kern w:val="0"/>
          <w:szCs w:val="21"/>
        </w:rPr>
      </w:pPr>
      <w:r w:rsidRPr="00B52C0E">
        <w:rPr>
          <w:rFonts w:ascii="STXihei" w:hAnsi="STXihei" w:cs="STXihei" w:hint="eastAsia"/>
          <w:color w:val="000000"/>
          <w:kern w:val="0"/>
          <w:szCs w:val="21"/>
        </w:rPr>
        <w:t>数据来源：文华财经，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通惠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26607D" w:rsidRDefault="0081214E" w:rsidP="0026607D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本周油价整体呈现单边下行态势，目前美原油已跌落</w:t>
      </w:r>
      <w:r>
        <w:rPr>
          <w:szCs w:val="21"/>
        </w:rPr>
        <w:t>47</w:t>
      </w:r>
      <w:r>
        <w:rPr>
          <w:szCs w:val="21"/>
        </w:rPr>
        <w:t>美元</w:t>
      </w:r>
      <w:r>
        <w:rPr>
          <w:szCs w:val="21"/>
        </w:rPr>
        <w:t>/</w:t>
      </w:r>
      <w:r>
        <w:rPr>
          <w:szCs w:val="21"/>
        </w:rPr>
        <w:t>桶关口。一方面，自从上周三大月报出炉，特别是</w:t>
      </w:r>
      <w:r>
        <w:rPr>
          <w:szCs w:val="21"/>
        </w:rPr>
        <w:t>OPEC</w:t>
      </w:r>
      <w:r>
        <w:rPr>
          <w:szCs w:val="21"/>
        </w:rPr>
        <w:t>产量再次增加，市场对供应过剩担忧情绪加重，空头氛围开始弥漫；另一方面，夏季用油高峰已过，市场对美国原油库存继续大降和需求端持续走高持怀疑态度。此外，美国原油产量在经历了一段时间的触顶行情之后迎来大幅增长，已触及</w:t>
      </w:r>
      <w:r>
        <w:rPr>
          <w:szCs w:val="21"/>
        </w:rPr>
        <w:t>950</w:t>
      </w:r>
      <w:r>
        <w:rPr>
          <w:szCs w:val="21"/>
        </w:rPr>
        <w:t>万桶</w:t>
      </w:r>
      <w:r>
        <w:rPr>
          <w:szCs w:val="21"/>
        </w:rPr>
        <w:t>/</w:t>
      </w:r>
      <w:r>
        <w:rPr>
          <w:szCs w:val="21"/>
        </w:rPr>
        <w:t>天，而增长势头料将延续。种种利空都加剧了市场看跌油价悲观情绪的蔓延，油价在长时间的横盘整理之后接连下滑。</w:t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81214E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81214E">
        <w:rPr>
          <w:rFonts w:ascii="黑体" w:eastAsia="黑体" w:hAnsi="宋体"/>
          <w:bCs/>
          <w:color w:val="000000"/>
          <w:szCs w:val="21"/>
          <w:lang w:val="zh-CN"/>
        </w:rPr>
        <w:lastRenderedPageBreak/>
        <w:drawing>
          <wp:inline distT="0" distB="0" distL="0" distR="0">
            <wp:extent cx="6347244" cy="2766796"/>
            <wp:effectExtent l="19050" t="0" r="0" b="0"/>
            <wp:docPr id="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5556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277541" w:rsidRPr="002D4AF6" w:rsidRDefault="00A3511C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近期动力煤行情高位震荡，原料端对甲醇的支撑力度偏强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A3511C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A3511C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347244" cy="3295291"/>
            <wp:effectExtent l="19050" t="0" r="0" b="0"/>
            <wp:docPr id="18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8147" cy="329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D17195" w:rsidRDefault="00D17195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hint="eastAsia"/>
          <w:szCs w:val="21"/>
        </w:rPr>
      </w:pPr>
      <w:r>
        <w:rPr>
          <w:szCs w:val="21"/>
        </w:rPr>
        <w:t>本周，沿海甲醇市场先跌后涨。缺乏新消息指引，周初随着期货高位回调指引，获利解套盘再次出现，下游和中间商入市节奏迟滞，纷纷以静制动，少数持货商不得不随行降价排货，但成交放量未有出现明显改观，江苏、华南和宁波三地价格窄幅回撤。周后期，随着期货大幅跳涨、重要伊朗一套甲醇装置仍旧未有重启恢复以及外盘</w:t>
      </w:r>
      <w:r>
        <w:rPr>
          <w:szCs w:val="21"/>
        </w:rPr>
        <w:lastRenderedPageBreak/>
        <w:t>货源略显紧缩等等利好纷至沓来，有货者再度拉高排货，批量成交重心再度拉升，江苏以及华南成交比前一日大幅走高</w:t>
      </w:r>
      <w:r>
        <w:rPr>
          <w:rFonts w:ascii="Calibri" w:hAnsi="Calibri" w:cs="Calibri"/>
          <w:szCs w:val="21"/>
        </w:rPr>
        <w:t>55-60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吨。场内多空心态纷乱。</w:t>
      </w:r>
    </w:p>
    <w:p w:rsidR="009E1B42" w:rsidRPr="00713078" w:rsidRDefault="00D17195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，内地甲醇市场涨跌互现。西北地区受前期预售偏多影响，导致周初延续上涨态势，加之河北部分下游仍买气尚可，致使周内北线出货尚可，南线受运输不畅等因素影响，周内部分排库受阻。关中地区周初大幅上涨，除部分供给长约外，周内受下游环保影响排库受阻。山东地区弱势下滑，周内受环保、安全检查影响，下游开工下滑，买气低迷，贸易商成本支撑让利有限，周内整体交投一般。河南地区前期合同走货顺利，周内新单高价承压，部分降价出货。河北地区涨势趋缓，周初部分小幅上调但下游跟进有限，周内受山东市场下调带动，部分交投走低。山东市场均价为</w:t>
      </w:r>
      <w:r>
        <w:rPr>
          <w:rFonts w:ascii="Calibri" w:hAnsi="Calibri" w:cs="Calibri"/>
          <w:szCs w:val="21"/>
        </w:rPr>
        <w:t>2289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吨，环比上涨</w:t>
      </w:r>
      <w:r>
        <w:rPr>
          <w:rFonts w:ascii="Calibri" w:hAnsi="Calibri" w:cs="Calibri"/>
          <w:szCs w:val="21"/>
        </w:rPr>
        <w:t>1.69%</w:t>
      </w:r>
      <w:r>
        <w:rPr>
          <w:szCs w:val="21"/>
        </w:rPr>
        <w:t>，内蒙市场均价为</w:t>
      </w:r>
      <w:r>
        <w:rPr>
          <w:rFonts w:ascii="Calibri" w:hAnsi="Calibri" w:cs="Calibri"/>
          <w:szCs w:val="21"/>
        </w:rPr>
        <w:t>2057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吨，环比上涨</w:t>
      </w:r>
      <w:r>
        <w:rPr>
          <w:rFonts w:ascii="Calibri" w:hAnsi="Calibri" w:cs="Calibri"/>
          <w:szCs w:val="21"/>
        </w:rPr>
        <w:t>2.95%</w:t>
      </w:r>
      <w:r>
        <w:rPr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D17195" w:rsidTr="00443C09">
        <w:trPr>
          <w:cnfStyle w:val="000000100000"/>
        </w:trPr>
        <w:tc>
          <w:tcPr>
            <w:cnfStyle w:val="001000000000"/>
            <w:tcW w:w="3474" w:type="dxa"/>
          </w:tcPr>
          <w:p w:rsidR="00D17195" w:rsidRDefault="00D17195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D17195" w:rsidRDefault="00D17195" w:rsidP="002403E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2560</w:t>
            </w:r>
          </w:p>
        </w:tc>
        <w:tc>
          <w:tcPr>
            <w:tcW w:w="3474" w:type="dxa"/>
          </w:tcPr>
          <w:p w:rsidR="00D17195" w:rsidRDefault="00D17195" w:rsidP="007E1AE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2500</w:t>
            </w:r>
          </w:p>
        </w:tc>
      </w:tr>
      <w:tr w:rsidR="00D17195" w:rsidTr="00443C09">
        <w:trPr>
          <w:cnfStyle w:val="000000010000"/>
        </w:trPr>
        <w:tc>
          <w:tcPr>
            <w:cnfStyle w:val="001000000000"/>
            <w:tcW w:w="3474" w:type="dxa"/>
          </w:tcPr>
          <w:p w:rsidR="00D17195" w:rsidRDefault="00D17195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D17195" w:rsidRDefault="00D17195" w:rsidP="00443C09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2535</w:t>
            </w:r>
          </w:p>
        </w:tc>
        <w:tc>
          <w:tcPr>
            <w:tcW w:w="3474" w:type="dxa"/>
          </w:tcPr>
          <w:p w:rsidR="00D17195" w:rsidRDefault="00D17195" w:rsidP="007E1AE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2525</w:t>
            </w:r>
          </w:p>
        </w:tc>
      </w:tr>
      <w:tr w:rsidR="00D17195" w:rsidTr="00443C09">
        <w:trPr>
          <w:cnfStyle w:val="000000100000"/>
        </w:trPr>
        <w:tc>
          <w:tcPr>
            <w:cnfStyle w:val="001000000000"/>
            <w:tcW w:w="3474" w:type="dxa"/>
          </w:tcPr>
          <w:p w:rsidR="00D17195" w:rsidRDefault="00D17195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D17195" w:rsidRDefault="00D17195" w:rsidP="00507C0C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2530</w:t>
            </w:r>
          </w:p>
        </w:tc>
        <w:tc>
          <w:tcPr>
            <w:tcW w:w="3474" w:type="dxa"/>
          </w:tcPr>
          <w:p w:rsidR="00D17195" w:rsidRDefault="00D17195" w:rsidP="007E1AE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2495</w:t>
            </w:r>
          </w:p>
        </w:tc>
      </w:tr>
      <w:tr w:rsidR="00D17195" w:rsidTr="00443C09">
        <w:trPr>
          <w:cnfStyle w:val="000000010000"/>
        </w:trPr>
        <w:tc>
          <w:tcPr>
            <w:cnfStyle w:val="001000000000"/>
            <w:tcW w:w="3474" w:type="dxa"/>
          </w:tcPr>
          <w:p w:rsidR="00D17195" w:rsidRDefault="00D17195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D17195" w:rsidRDefault="00D17195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2285</w:t>
            </w:r>
          </w:p>
        </w:tc>
        <w:tc>
          <w:tcPr>
            <w:tcW w:w="3474" w:type="dxa"/>
          </w:tcPr>
          <w:p w:rsidR="00D17195" w:rsidRDefault="00D17195" w:rsidP="007E1AE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2270</w:t>
            </w:r>
          </w:p>
        </w:tc>
      </w:tr>
      <w:tr w:rsidR="00D17195" w:rsidTr="00443C09">
        <w:trPr>
          <w:cnfStyle w:val="000000100000"/>
        </w:trPr>
        <w:tc>
          <w:tcPr>
            <w:cnfStyle w:val="001000000000"/>
            <w:tcW w:w="3474" w:type="dxa"/>
          </w:tcPr>
          <w:p w:rsidR="00D17195" w:rsidRDefault="00D17195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D17195" w:rsidRDefault="00D17195" w:rsidP="0045024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2120</w:t>
            </w:r>
          </w:p>
        </w:tc>
        <w:tc>
          <w:tcPr>
            <w:tcW w:w="3474" w:type="dxa"/>
          </w:tcPr>
          <w:p w:rsidR="00D17195" w:rsidRDefault="00D17195" w:rsidP="007E1AE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2050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567BBE">
        <w:rPr>
          <w:rFonts w:ascii="宋体" w:hAnsi="宋体" w:cs="Arial" w:hint="eastAsia"/>
          <w:kern w:val="0"/>
          <w:szCs w:val="21"/>
        </w:rPr>
        <w:t>江苏山东价差已经到了</w:t>
      </w:r>
      <w:r w:rsidR="00213F4C">
        <w:rPr>
          <w:rFonts w:ascii="宋体" w:hAnsi="宋体" w:cs="Arial" w:hint="eastAsia"/>
          <w:kern w:val="0"/>
          <w:szCs w:val="21"/>
        </w:rPr>
        <w:t>2</w:t>
      </w:r>
      <w:r w:rsidR="00567BBE">
        <w:rPr>
          <w:rFonts w:ascii="宋体" w:hAnsi="宋体" w:cs="Arial" w:hint="eastAsia"/>
          <w:kern w:val="0"/>
          <w:szCs w:val="21"/>
        </w:rPr>
        <w:t>00元以上</w:t>
      </w:r>
      <w:r w:rsidR="000C2E69">
        <w:rPr>
          <w:rFonts w:ascii="宋体" w:hAnsi="宋体" w:cs="Arial" w:hint="eastAsia"/>
          <w:kern w:val="0"/>
          <w:szCs w:val="21"/>
        </w:rPr>
        <w:t>，</w:t>
      </w:r>
      <w:r w:rsidR="00C62DB2">
        <w:rPr>
          <w:rFonts w:ascii="宋体" w:hAnsi="宋体" w:cs="Arial" w:hint="eastAsia"/>
          <w:kern w:val="0"/>
          <w:szCs w:val="21"/>
        </w:rPr>
        <w:t>江苏内蒙价差也逐渐拉开，套利窗口打开，后期内地货源对港口可能产生冲击</w:t>
      </w:r>
      <w:r w:rsidR="00955AB4">
        <w:rPr>
          <w:rFonts w:ascii="宋体" w:hAnsi="宋体" w:cs="Arial" w:hint="eastAsia"/>
          <w:kern w:val="0"/>
          <w:szCs w:val="21"/>
        </w:rPr>
        <w:t>。从基差情况来看，</w:t>
      </w:r>
      <w:r w:rsidR="00D17195">
        <w:rPr>
          <w:rFonts w:ascii="宋体" w:hAnsi="宋体" w:cs="Arial" w:hint="eastAsia"/>
          <w:kern w:val="0"/>
          <w:szCs w:val="21"/>
        </w:rPr>
        <w:t>主力换月，现货对远月贴水</w:t>
      </w:r>
      <w:r w:rsidR="00B37C32">
        <w:rPr>
          <w:rFonts w:ascii="宋体" w:hAnsi="宋体" w:cs="Arial" w:hint="eastAsia"/>
          <w:kern w:val="0"/>
          <w:szCs w:val="21"/>
        </w:rPr>
        <w:t>。</w:t>
      </w:r>
    </w:p>
    <w:p w:rsidR="0029112E" w:rsidRDefault="00D17195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D17195">
        <w:rPr>
          <w:rFonts w:ascii="宋体" w:hAnsi="宋体" w:cs="Arial"/>
          <w:kern w:val="0"/>
          <w:szCs w:val="21"/>
        </w:rPr>
        <w:drawing>
          <wp:inline distT="0" distB="0" distL="0" distR="0">
            <wp:extent cx="6312739" cy="2759174"/>
            <wp:effectExtent l="19050" t="0" r="0" b="0"/>
            <wp:docPr id="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11061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D17195" w:rsidTr="00682AB2">
        <w:trPr>
          <w:cnfStyle w:val="000000100000"/>
        </w:trPr>
        <w:tc>
          <w:tcPr>
            <w:cnfStyle w:val="001000000000"/>
            <w:tcW w:w="3474" w:type="dxa"/>
          </w:tcPr>
          <w:p w:rsidR="00D17195" w:rsidRDefault="00D17195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D17195" w:rsidRDefault="00D17195" w:rsidP="002821C5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50.22</w:t>
            </w:r>
          </w:p>
        </w:tc>
        <w:tc>
          <w:tcPr>
            <w:tcW w:w="3474" w:type="dxa"/>
          </w:tcPr>
          <w:p w:rsidR="00D17195" w:rsidRDefault="00D17195" w:rsidP="007E1AE7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42.9</w:t>
            </w:r>
          </w:p>
        </w:tc>
      </w:tr>
      <w:tr w:rsidR="00D17195" w:rsidTr="00682AB2">
        <w:trPr>
          <w:cnfStyle w:val="000000010000"/>
        </w:trPr>
        <w:tc>
          <w:tcPr>
            <w:cnfStyle w:val="001000000000"/>
            <w:tcW w:w="3474" w:type="dxa"/>
          </w:tcPr>
          <w:p w:rsidR="00D17195" w:rsidRDefault="00D17195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D17195" w:rsidRDefault="00D17195" w:rsidP="00FF40A9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11.7</w:t>
            </w:r>
          </w:p>
        </w:tc>
        <w:tc>
          <w:tcPr>
            <w:tcW w:w="3474" w:type="dxa"/>
          </w:tcPr>
          <w:p w:rsidR="00D17195" w:rsidRDefault="00D17195" w:rsidP="007E1AE7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10.3</w:t>
            </w:r>
          </w:p>
        </w:tc>
      </w:tr>
      <w:tr w:rsidR="00D17195" w:rsidTr="00682AB2">
        <w:trPr>
          <w:cnfStyle w:val="000000100000"/>
        </w:trPr>
        <w:tc>
          <w:tcPr>
            <w:cnfStyle w:val="001000000000"/>
            <w:tcW w:w="3474" w:type="dxa"/>
          </w:tcPr>
          <w:p w:rsidR="00D17195" w:rsidRDefault="00D17195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D17195" w:rsidRDefault="00D17195" w:rsidP="00136257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18.52</w:t>
            </w:r>
          </w:p>
        </w:tc>
        <w:tc>
          <w:tcPr>
            <w:tcW w:w="3474" w:type="dxa"/>
          </w:tcPr>
          <w:p w:rsidR="00D17195" w:rsidRDefault="00D17195" w:rsidP="007E1AE7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18.84</w:t>
            </w:r>
          </w:p>
        </w:tc>
      </w:tr>
      <w:tr w:rsidR="00D17195" w:rsidTr="00682AB2">
        <w:trPr>
          <w:cnfStyle w:val="000000010000"/>
        </w:trPr>
        <w:tc>
          <w:tcPr>
            <w:cnfStyle w:val="001000000000"/>
            <w:tcW w:w="3474" w:type="dxa"/>
          </w:tcPr>
          <w:p w:rsidR="00D17195" w:rsidRDefault="00D17195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D17195" w:rsidRDefault="00D17195" w:rsidP="007A6035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80.44</w:t>
            </w:r>
          </w:p>
        </w:tc>
        <w:tc>
          <w:tcPr>
            <w:tcW w:w="3474" w:type="dxa"/>
          </w:tcPr>
          <w:p w:rsidR="00D17195" w:rsidRDefault="00D17195" w:rsidP="007E1AE7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72.04</w:t>
            </w:r>
          </w:p>
        </w:tc>
      </w:tr>
    </w:tbl>
    <w:p w:rsidR="00443C09" w:rsidRDefault="007A6035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7A6035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485267" cy="2475781"/>
            <wp:effectExtent l="19050" t="0" r="0" b="0"/>
            <wp:docPr id="21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99333" cy="248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Pr="00713078" w:rsidRDefault="00136257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本周</w:t>
      </w:r>
      <w:r w:rsidR="007A6035">
        <w:rPr>
          <w:rFonts w:ascii="SimSun" w:hAnsi="SimSun" w:cs="SimSun"/>
          <w:szCs w:val="21"/>
        </w:rPr>
        <w:t>，</w:t>
      </w:r>
      <w:r w:rsidR="00D17195">
        <w:rPr>
          <w:szCs w:val="21"/>
        </w:rPr>
        <w:t>江苏甲醇库存在</w:t>
      </w:r>
      <w:r w:rsidR="00D17195">
        <w:rPr>
          <w:rFonts w:ascii="Calibri" w:hAnsi="Calibri" w:cs="Calibri"/>
          <w:szCs w:val="21"/>
        </w:rPr>
        <w:t>50.22</w:t>
      </w:r>
      <w:r w:rsidR="00D17195">
        <w:rPr>
          <w:szCs w:val="21"/>
        </w:rPr>
        <w:t>万吨（不加连云港地区地区甲醇库存），较上周大幅上涨</w:t>
      </w:r>
      <w:r w:rsidR="00D17195">
        <w:rPr>
          <w:rFonts w:ascii="Calibri" w:hAnsi="Calibri" w:cs="Calibri"/>
          <w:szCs w:val="21"/>
        </w:rPr>
        <w:t>7.32</w:t>
      </w:r>
      <w:r w:rsidR="00D17195">
        <w:rPr>
          <w:szCs w:val="21"/>
        </w:rPr>
        <w:t>万吨，涨幅在</w:t>
      </w:r>
      <w:r w:rsidR="00D17195">
        <w:rPr>
          <w:rFonts w:ascii="Calibri" w:hAnsi="Calibri" w:cs="Calibri"/>
          <w:szCs w:val="21"/>
        </w:rPr>
        <w:t>17.06%</w:t>
      </w:r>
      <w:r w:rsidR="00D17195">
        <w:rPr>
          <w:szCs w:val="21"/>
        </w:rPr>
        <w:t>。其中太仓地区库存大幅上涨至</w:t>
      </w:r>
      <w:r w:rsidR="00D17195">
        <w:rPr>
          <w:rFonts w:ascii="Calibri" w:hAnsi="Calibri" w:cs="Calibri"/>
          <w:szCs w:val="21"/>
        </w:rPr>
        <w:t>14.80</w:t>
      </w:r>
      <w:r w:rsidR="00D17195">
        <w:rPr>
          <w:szCs w:val="21"/>
        </w:rPr>
        <w:t>万吨，张家港地区库存上涨至</w:t>
      </w:r>
      <w:r w:rsidR="00D17195">
        <w:rPr>
          <w:rFonts w:ascii="Calibri" w:hAnsi="Calibri" w:cs="Calibri"/>
          <w:szCs w:val="21"/>
        </w:rPr>
        <w:t>11.90</w:t>
      </w:r>
      <w:r w:rsidR="00D17195">
        <w:rPr>
          <w:szCs w:val="21"/>
        </w:rPr>
        <w:t>万吨，江阴地区持平在</w:t>
      </w:r>
      <w:r w:rsidR="00D17195">
        <w:rPr>
          <w:rFonts w:ascii="Calibri" w:hAnsi="Calibri" w:cs="Calibri"/>
          <w:szCs w:val="21"/>
        </w:rPr>
        <w:t>2</w:t>
      </w:r>
      <w:r w:rsidR="00D17195">
        <w:rPr>
          <w:szCs w:val="21"/>
        </w:rPr>
        <w:t>万吨，常州地区库存继续走高至</w:t>
      </w:r>
      <w:r w:rsidR="00D17195">
        <w:rPr>
          <w:rFonts w:ascii="Calibri" w:hAnsi="Calibri" w:cs="Calibri"/>
          <w:szCs w:val="21"/>
        </w:rPr>
        <w:t>6.90</w:t>
      </w:r>
      <w:r w:rsidR="00D17195">
        <w:rPr>
          <w:szCs w:val="21"/>
        </w:rPr>
        <w:t>万吨，南通地区库存走高至</w:t>
      </w:r>
      <w:r w:rsidR="00D17195">
        <w:rPr>
          <w:rFonts w:ascii="Calibri" w:hAnsi="Calibri" w:cs="Calibri"/>
          <w:szCs w:val="21"/>
        </w:rPr>
        <w:t>4.30</w:t>
      </w:r>
      <w:r w:rsidR="00D17195">
        <w:rPr>
          <w:szCs w:val="21"/>
        </w:rPr>
        <w:t>万吨。周内太仓、常州等地进口船货积极到港卸货（太仓地区周内进口大船到港增多），常州等地周边内地货源仍在陆续抵达库区，太仓和张家港地区仓储库存量提升明显。周内太仓仍有部分货源发往浙江区域，但发往南京地区货源缩减。目前主力交割库区可售货源仍旧有限，部分货源等待报关或者捂货惜售，太仓区域本周平均一天提货量在</w:t>
      </w:r>
      <w:r w:rsidR="00D17195">
        <w:rPr>
          <w:rFonts w:ascii="Calibri" w:hAnsi="Calibri" w:cs="Calibri"/>
          <w:szCs w:val="21"/>
        </w:rPr>
        <w:t>1435.50-1571</w:t>
      </w:r>
      <w:r w:rsidR="00D17195">
        <w:rPr>
          <w:szCs w:val="21"/>
        </w:rPr>
        <w:t>吨（太仓区域上周平均一天提货量在</w:t>
      </w:r>
      <w:r w:rsidR="00D17195">
        <w:rPr>
          <w:rFonts w:ascii="Calibri" w:hAnsi="Calibri" w:cs="Calibri"/>
          <w:szCs w:val="21"/>
        </w:rPr>
        <w:t>1600-1928.50</w:t>
      </w:r>
      <w:r w:rsidR="00D17195">
        <w:rPr>
          <w:szCs w:val="21"/>
        </w:rPr>
        <w:t>吨）。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7A6035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7A6035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lastRenderedPageBreak/>
        <w:drawing>
          <wp:inline distT="0" distB="0" distL="0" distR="0">
            <wp:extent cx="3146844" cy="1966823"/>
            <wp:effectExtent l="19050" t="0" r="0" b="0"/>
            <wp:docPr id="22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6007" cy="19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035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196063" cy="1966107"/>
            <wp:effectExtent l="19050" t="0" r="4337" b="0"/>
            <wp:docPr id="23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97753" cy="196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D17195" w:rsidP="002C37ED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szCs w:val="21"/>
        </w:rPr>
        <w:t>外盘方面，本周甲醇外盘僵持整理为主。周初，仍旧低价难寻，商家主动递盘在</w:t>
      </w:r>
      <w:r>
        <w:rPr>
          <w:szCs w:val="21"/>
        </w:rPr>
        <w:t>280-300</w:t>
      </w:r>
      <w:r>
        <w:rPr>
          <w:szCs w:val="21"/>
        </w:rPr>
        <w:t>美元</w:t>
      </w:r>
      <w:r>
        <w:rPr>
          <w:szCs w:val="21"/>
        </w:rPr>
        <w:t>/</w:t>
      </w:r>
      <w:r>
        <w:rPr>
          <w:szCs w:val="21"/>
        </w:rPr>
        <w:t>吨均有，但少数卖方固定价报盘在</w:t>
      </w:r>
      <w:r>
        <w:rPr>
          <w:szCs w:val="21"/>
        </w:rPr>
        <w:t>305</w:t>
      </w:r>
      <w:r>
        <w:rPr>
          <w:szCs w:val="21"/>
        </w:rPr>
        <w:t>美元</w:t>
      </w:r>
      <w:r>
        <w:rPr>
          <w:szCs w:val="21"/>
        </w:rPr>
        <w:t>/</w:t>
      </w:r>
      <w:r>
        <w:rPr>
          <w:szCs w:val="21"/>
        </w:rPr>
        <w:t>吨（</w:t>
      </w:r>
      <w:r>
        <w:rPr>
          <w:szCs w:val="21"/>
        </w:rPr>
        <w:t>9</w:t>
      </w:r>
      <w:r>
        <w:rPr>
          <w:szCs w:val="21"/>
        </w:rPr>
        <w:t>月份到港进口船货），而</w:t>
      </w:r>
      <w:r>
        <w:rPr>
          <w:szCs w:val="21"/>
        </w:rPr>
        <w:t>9</w:t>
      </w:r>
      <w:r>
        <w:rPr>
          <w:szCs w:val="21"/>
        </w:rPr>
        <w:t>月份到港的伊朗船货公式价报盘在</w:t>
      </w:r>
      <w:r>
        <w:rPr>
          <w:szCs w:val="21"/>
        </w:rPr>
        <w:t>+2.5%</w:t>
      </w:r>
      <w:r>
        <w:rPr>
          <w:szCs w:val="21"/>
        </w:rPr>
        <w:t>，买家还盘在</w:t>
      </w:r>
      <w:r>
        <w:rPr>
          <w:szCs w:val="21"/>
        </w:rPr>
        <w:t>+1.8%-2%</w:t>
      </w:r>
      <w:r>
        <w:rPr>
          <w:szCs w:val="21"/>
        </w:rPr>
        <w:t>，中东非伊朗船货还盘在</w:t>
      </w:r>
      <w:r>
        <w:rPr>
          <w:szCs w:val="21"/>
        </w:rPr>
        <w:t>+2%</w:t>
      </w:r>
      <w:r>
        <w:rPr>
          <w:szCs w:val="21"/>
        </w:rPr>
        <w:t>附近，买卖双方拉锯价格为主，周内暂时缺乏实际成交听闻，近期基于种种原因，虽然外盘倒挂在</w:t>
      </w:r>
      <w:r>
        <w:rPr>
          <w:szCs w:val="21"/>
        </w:rPr>
        <w:t>90-100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吨，但仍旧部分港口商家以及外商意向买入</w:t>
      </w:r>
      <w:r>
        <w:rPr>
          <w:szCs w:val="21"/>
        </w:rPr>
        <w:t>9</w:t>
      </w:r>
      <w:r>
        <w:rPr>
          <w:szCs w:val="21"/>
        </w:rPr>
        <w:t>月份至</w:t>
      </w:r>
      <w:r>
        <w:rPr>
          <w:szCs w:val="21"/>
        </w:rPr>
        <w:t>10</w:t>
      </w:r>
      <w:r>
        <w:rPr>
          <w:szCs w:val="21"/>
        </w:rPr>
        <w:t>月份到港货物。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D17195" w:rsidTr="0029112E">
        <w:trPr>
          <w:cnfStyle w:val="000000100000"/>
        </w:trPr>
        <w:tc>
          <w:tcPr>
            <w:cnfStyle w:val="001000000000"/>
            <w:tcW w:w="3474" w:type="dxa"/>
          </w:tcPr>
          <w:p w:rsidR="00D17195" w:rsidRDefault="00D17195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D17195" w:rsidRDefault="00D17195" w:rsidP="007A2F2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293</w:t>
            </w:r>
          </w:p>
        </w:tc>
        <w:tc>
          <w:tcPr>
            <w:tcW w:w="3474" w:type="dxa"/>
          </w:tcPr>
          <w:p w:rsidR="00D17195" w:rsidRDefault="00D17195" w:rsidP="007E1AE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283</w:t>
            </w:r>
          </w:p>
        </w:tc>
      </w:tr>
      <w:tr w:rsidR="00D17195" w:rsidTr="0029112E">
        <w:trPr>
          <w:cnfStyle w:val="000000010000"/>
        </w:trPr>
        <w:tc>
          <w:tcPr>
            <w:cnfStyle w:val="001000000000"/>
            <w:tcW w:w="3474" w:type="dxa"/>
          </w:tcPr>
          <w:p w:rsidR="00D17195" w:rsidRDefault="00D17195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D17195" w:rsidRDefault="00D17195" w:rsidP="007876E4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292</w:t>
            </w:r>
          </w:p>
        </w:tc>
        <w:tc>
          <w:tcPr>
            <w:tcW w:w="3474" w:type="dxa"/>
          </w:tcPr>
          <w:p w:rsidR="00D17195" w:rsidRDefault="00D17195" w:rsidP="007E1AE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284</w:t>
            </w:r>
          </w:p>
        </w:tc>
      </w:tr>
      <w:tr w:rsidR="00D17195" w:rsidTr="0029112E">
        <w:trPr>
          <w:cnfStyle w:val="000000100000"/>
        </w:trPr>
        <w:tc>
          <w:tcPr>
            <w:cnfStyle w:val="001000000000"/>
            <w:tcW w:w="3474" w:type="dxa"/>
          </w:tcPr>
          <w:p w:rsidR="00D17195" w:rsidRDefault="00D17195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D17195" w:rsidRDefault="00D17195" w:rsidP="0042671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304</w:t>
            </w:r>
          </w:p>
        </w:tc>
        <w:tc>
          <w:tcPr>
            <w:tcW w:w="3474" w:type="dxa"/>
          </w:tcPr>
          <w:p w:rsidR="00D17195" w:rsidRDefault="00D17195" w:rsidP="007E1AE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297.6</w:t>
            </w:r>
          </w:p>
        </w:tc>
      </w:tr>
      <w:tr w:rsidR="00D17195" w:rsidTr="0029112E">
        <w:trPr>
          <w:cnfStyle w:val="000000010000"/>
        </w:trPr>
        <w:tc>
          <w:tcPr>
            <w:cnfStyle w:val="001000000000"/>
            <w:tcW w:w="3474" w:type="dxa"/>
          </w:tcPr>
          <w:p w:rsidR="00D17195" w:rsidRDefault="00D17195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D17195" w:rsidRDefault="00D17195" w:rsidP="0033137B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255</w:t>
            </w:r>
          </w:p>
        </w:tc>
        <w:tc>
          <w:tcPr>
            <w:tcW w:w="3474" w:type="dxa"/>
          </w:tcPr>
          <w:p w:rsidR="00D17195" w:rsidRDefault="00D17195" w:rsidP="007E1AE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258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7A6035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7A6035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252354" cy="2759174"/>
            <wp:effectExtent l="19050" t="0" r="0" b="0"/>
            <wp:docPr id="24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50692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lastRenderedPageBreak/>
        <w:t>数据来源：wind，通惠期货研发部</w:t>
      </w:r>
    </w:p>
    <w:p w:rsidR="00306E41" w:rsidRDefault="006762CA" w:rsidP="00CB2E7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本周</w:t>
      </w:r>
      <w:r w:rsidR="00C35375">
        <w:rPr>
          <w:rFonts w:ascii="宋体" w:hAnsi="宋体" w:cs="Arial" w:hint="eastAsia"/>
          <w:kern w:val="0"/>
          <w:szCs w:val="21"/>
        </w:rPr>
        <w:t>中美甲醇价差</w:t>
      </w:r>
      <w:r w:rsidR="0037643E">
        <w:rPr>
          <w:rFonts w:ascii="宋体" w:hAnsi="宋体" w:cs="Arial" w:hint="eastAsia"/>
          <w:kern w:val="0"/>
          <w:szCs w:val="21"/>
        </w:rPr>
        <w:t>在</w:t>
      </w:r>
      <w:r w:rsidR="0033137B">
        <w:rPr>
          <w:rFonts w:ascii="宋体" w:hAnsi="宋体" w:cs="Arial" w:hint="eastAsia"/>
          <w:kern w:val="0"/>
          <w:szCs w:val="21"/>
        </w:rPr>
        <w:t>继续</w:t>
      </w:r>
      <w:r w:rsidR="0037643E">
        <w:rPr>
          <w:rFonts w:ascii="宋体" w:hAnsi="宋体" w:cs="Arial" w:hint="eastAsia"/>
          <w:kern w:val="0"/>
          <w:szCs w:val="21"/>
        </w:rPr>
        <w:t>低位徘徊</w:t>
      </w:r>
      <w:r w:rsidR="0033137B">
        <w:rPr>
          <w:rFonts w:ascii="宋体" w:hAnsi="宋体" w:cs="Arial" w:hint="eastAsia"/>
          <w:kern w:val="0"/>
          <w:szCs w:val="21"/>
        </w:rPr>
        <w:t>，</w:t>
      </w:r>
      <w:r w:rsidR="00C35375">
        <w:rPr>
          <w:rFonts w:ascii="宋体" w:hAnsi="宋体" w:cs="Arial" w:hint="eastAsia"/>
          <w:kern w:val="0"/>
          <w:szCs w:val="21"/>
        </w:rPr>
        <w:t>套利窗口</w:t>
      </w:r>
      <w:r w:rsidR="00D3646A">
        <w:rPr>
          <w:rFonts w:ascii="宋体" w:hAnsi="宋体" w:cs="Arial" w:hint="eastAsia"/>
          <w:kern w:val="0"/>
          <w:szCs w:val="21"/>
        </w:rPr>
        <w:t>还未打开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0883" w:rsidRDefault="00306E41" w:rsidP="00306E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BD0883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开工率</w:t>
      </w:r>
    </w:p>
    <w:p w:rsidR="00306E41" w:rsidRPr="00BD0883" w:rsidRDefault="00DB52E9" w:rsidP="00306E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DB52E9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347244" cy="2439231"/>
            <wp:effectExtent l="19050" t="0" r="0" b="0"/>
            <wp:docPr id="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45082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A82" w:rsidRDefault="00BD0883" w:rsidP="00306E41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 w:rsidR="004F5A53"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 w:rsidR="00306E41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E4826" w:rsidRPr="00713078" w:rsidRDefault="00713078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 w:rsidRPr="00713078">
        <w:rPr>
          <w:rFonts w:hint="eastAsia"/>
          <w:szCs w:val="21"/>
        </w:rPr>
        <w:t>本周</w:t>
      </w:r>
      <w:r w:rsidR="009B390D">
        <w:rPr>
          <w:szCs w:val="21"/>
        </w:rPr>
        <w:t>，</w:t>
      </w:r>
      <w:r w:rsidR="00DB52E9">
        <w:rPr>
          <w:szCs w:val="21"/>
        </w:rPr>
        <w:t>日，国内甲醇整体装置开工负荷为</w:t>
      </w:r>
      <w:r w:rsidR="00DB52E9">
        <w:rPr>
          <w:szCs w:val="21"/>
        </w:rPr>
        <w:t>69.77%</w:t>
      </w:r>
      <w:r w:rsidR="00DB52E9">
        <w:rPr>
          <w:szCs w:val="21"/>
        </w:rPr>
        <w:t>，环比上涨</w:t>
      </w:r>
      <w:r w:rsidR="00DB52E9">
        <w:rPr>
          <w:szCs w:val="21"/>
        </w:rPr>
        <w:t>3.53%</w:t>
      </w:r>
      <w:r w:rsidR="00DB52E9">
        <w:rPr>
          <w:szCs w:val="21"/>
        </w:rPr>
        <w:t>；西北地区的开工</w:t>
      </w:r>
      <w:r w:rsidR="00DB52E9">
        <w:rPr>
          <w:szCs w:val="21"/>
        </w:rPr>
        <w:t>76.82%</w:t>
      </w:r>
      <w:r w:rsidR="00DB52E9">
        <w:rPr>
          <w:szCs w:val="21"/>
        </w:rPr>
        <w:t>，环比上涨</w:t>
      </w:r>
      <w:r w:rsidR="00DB52E9">
        <w:rPr>
          <w:szCs w:val="21"/>
        </w:rPr>
        <w:t>4.34%</w:t>
      </w:r>
      <w:r w:rsidR="00DB52E9">
        <w:rPr>
          <w:szCs w:val="21"/>
        </w:rPr>
        <w:t>。本周内西北地区虽有部分装置降负运行、少数装置停车检修，但由于部分煤制烯烃甲醇装置恢复运行，导致西北地区开工率大幅上涨，另外山东、河南地区部分甲醇装置降负运行或停车检修，但总体国内开工率仍大幅度上涨</w:t>
      </w:r>
      <w:r w:rsidR="00912D1A">
        <w:rPr>
          <w:szCs w:val="21"/>
        </w:rPr>
        <w:t>。</w:t>
      </w:r>
    </w:p>
    <w:p w:rsidR="004F5A53" w:rsidRDefault="00DB52E9" w:rsidP="00AE4826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DB52E9">
        <w:rPr>
          <w:rFonts w:ascii="宋体" w:hAnsi="宋体" w:cs="Arial"/>
          <w:kern w:val="0"/>
          <w:szCs w:val="21"/>
        </w:rPr>
        <w:drawing>
          <wp:inline distT="0" distB="0" distL="0" distR="0">
            <wp:extent cx="6407629" cy="2527540"/>
            <wp:effectExtent l="19050" t="0" r="0" b="0"/>
            <wp:docPr id="10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1346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A53" w:rsidRDefault="004F5A53" w:rsidP="004F5A53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F5A53" w:rsidRPr="00713078" w:rsidRDefault="00DB52E9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本周国内煤（甲醇）制烯烃装置平均开工率在</w:t>
      </w:r>
      <w:r>
        <w:rPr>
          <w:szCs w:val="21"/>
        </w:rPr>
        <w:t>85.19%</w:t>
      </w:r>
      <w:r>
        <w:rPr>
          <w:rFonts w:hint="eastAsia"/>
          <w:szCs w:val="21"/>
        </w:rPr>
        <w:t>，较上周提升</w:t>
      </w:r>
      <w:r>
        <w:rPr>
          <w:szCs w:val="21"/>
        </w:rPr>
        <w:t>6.89</w:t>
      </w:r>
      <w:r>
        <w:rPr>
          <w:rFonts w:hint="eastAsia"/>
          <w:szCs w:val="21"/>
        </w:rPr>
        <w:t>个百分点。本周期内，国内</w:t>
      </w:r>
      <w:r>
        <w:rPr>
          <w:szCs w:val="21"/>
        </w:rPr>
        <w:t>CTO/MTO</w:t>
      </w:r>
      <w:r>
        <w:rPr>
          <w:rFonts w:hint="eastAsia"/>
          <w:szCs w:val="21"/>
        </w:rPr>
        <w:t>装置整体开工率有一定提升，主要是因为神华新疆烯烃装置开车，满负荷运行；蒲城清洁能源、兴兴能源和江苏</w:t>
      </w:r>
      <w:r>
        <w:rPr>
          <w:rFonts w:hint="eastAsia"/>
          <w:szCs w:val="21"/>
        </w:rPr>
        <w:lastRenderedPageBreak/>
        <w:t>盛虹继续提负荷，其余装置运行基本稳定。继续关注环保、安监对甲醇及下游市场的影响。</w:t>
      </w:r>
    </w:p>
    <w:tbl>
      <w:tblPr>
        <w:tblStyle w:val="1-11"/>
        <w:tblW w:w="0" w:type="auto"/>
        <w:tblLook w:val="04A0"/>
      </w:tblPr>
      <w:tblGrid>
        <w:gridCol w:w="1471"/>
        <w:gridCol w:w="1524"/>
        <w:gridCol w:w="1506"/>
        <w:gridCol w:w="1524"/>
        <w:gridCol w:w="1437"/>
        <w:gridCol w:w="1471"/>
        <w:gridCol w:w="1489"/>
      </w:tblGrid>
      <w:tr w:rsidR="008820E4" w:rsidTr="002A6B9A">
        <w:trPr>
          <w:cnfStyle w:val="100000000000"/>
          <w:trHeight w:val="514"/>
        </w:trPr>
        <w:tc>
          <w:tcPr>
            <w:cnfStyle w:val="001000000000"/>
            <w:tcW w:w="1471" w:type="dxa"/>
          </w:tcPr>
          <w:p w:rsidR="008820E4" w:rsidRDefault="008820E4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</w:p>
        </w:tc>
        <w:tc>
          <w:tcPr>
            <w:tcW w:w="1524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甲醛</w:t>
            </w:r>
          </w:p>
        </w:tc>
        <w:tc>
          <w:tcPr>
            <w:tcW w:w="1506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二甲醚</w:t>
            </w:r>
          </w:p>
        </w:tc>
        <w:tc>
          <w:tcPr>
            <w:tcW w:w="1524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MTBE</w:t>
            </w:r>
          </w:p>
        </w:tc>
        <w:tc>
          <w:tcPr>
            <w:tcW w:w="1437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醋酸</w:t>
            </w:r>
          </w:p>
        </w:tc>
        <w:tc>
          <w:tcPr>
            <w:tcW w:w="1471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甲缩醛</w:t>
            </w:r>
          </w:p>
        </w:tc>
        <w:tc>
          <w:tcPr>
            <w:tcW w:w="1489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DMF</w:t>
            </w:r>
          </w:p>
        </w:tc>
      </w:tr>
      <w:tr w:rsidR="002A6B9A" w:rsidTr="002A6B9A">
        <w:trPr>
          <w:cnfStyle w:val="000000100000"/>
          <w:trHeight w:val="514"/>
        </w:trPr>
        <w:tc>
          <w:tcPr>
            <w:cnfStyle w:val="001000000000"/>
            <w:tcW w:w="1471" w:type="dxa"/>
          </w:tcPr>
          <w:p w:rsidR="002A6B9A" w:rsidRDefault="002A6B9A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1524" w:type="dxa"/>
            <w:vAlign w:val="center"/>
          </w:tcPr>
          <w:p w:rsidR="002A6B9A" w:rsidRDefault="00DB52E9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506" w:type="dxa"/>
            <w:vAlign w:val="center"/>
          </w:tcPr>
          <w:p w:rsidR="002A6B9A" w:rsidRDefault="00DB52E9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18.46</w:t>
            </w:r>
          </w:p>
        </w:tc>
        <w:tc>
          <w:tcPr>
            <w:tcW w:w="1524" w:type="dxa"/>
            <w:vAlign w:val="center"/>
          </w:tcPr>
          <w:p w:rsidR="002A6B9A" w:rsidRDefault="00DB52E9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60.64</w:t>
            </w:r>
          </w:p>
        </w:tc>
        <w:tc>
          <w:tcPr>
            <w:tcW w:w="1437" w:type="dxa"/>
            <w:vAlign w:val="center"/>
          </w:tcPr>
          <w:p w:rsidR="002A6B9A" w:rsidRDefault="00DB52E9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66.81</w:t>
            </w:r>
          </w:p>
        </w:tc>
        <w:tc>
          <w:tcPr>
            <w:tcW w:w="1471" w:type="dxa"/>
            <w:vAlign w:val="center"/>
          </w:tcPr>
          <w:p w:rsidR="002A6B9A" w:rsidRDefault="00DB52E9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5.47</w:t>
            </w:r>
          </w:p>
        </w:tc>
        <w:tc>
          <w:tcPr>
            <w:tcW w:w="1489" w:type="dxa"/>
            <w:vAlign w:val="center"/>
          </w:tcPr>
          <w:p w:rsidR="002A6B9A" w:rsidRDefault="00DB52E9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42</w:t>
            </w:r>
          </w:p>
        </w:tc>
      </w:tr>
      <w:tr w:rsidR="00DB52E9" w:rsidTr="002A6B9A">
        <w:trPr>
          <w:cnfStyle w:val="000000010000"/>
          <w:trHeight w:val="514"/>
        </w:trPr>
        <w:tc>
          <w:tcPr>
            <w:cnfStyle w:val="001000000000"/>
            <w:tcW w:w="1471" w:type="dxa"/>
          </w:tcPr>
          <w:p w:rsidR="00DB52E9" w:rsidRDefault="00DB52E9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  <w:tc>
          <w:tcPr>
            <w:tcW w:w="1524" w:type="dxa"/>
            <w:vAlign w:val="center"/>
          </w:tcPr>
          <w:p w:rsidR="00DB52E9" w:rsidRDefault="00DB52E9" w:rsidP="007E1AE7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29.25</w:t>
            </w:r>
          </w:p>
        </w:tc>
        <w:tc>
          <w:tcPr>
            <w:tcW w:w="1506" w:type="dxa"/>
            <w:vAlign w:val="center"/>
          </w:tcPr>
          <w:p w:rsidR="00DB52E9" w:rsidRDefault="00DB52E9" w:rsidP="007E1AE7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20.67</w:t>
            </w:r>
          </w:p>
        </w:tc>
        <w:tc>
          <w:tcPr>
            <w:tcW w:w="1524" w:type="dxa"/>
            <w:vAlign w:val="center"/>
          </w:tcPr>
          <w:p w:rsidR="00DB52E9" w:rsidRDefault="00DB52E9" w:rsidP="007E1AE7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61.41</w:t>
            </w:r>
          </w:p>
        </w:tc>
        <w:tc>
          <w:tcPr>
            <w:tcW w:w="1437" w:type="dxa"/>
            <w:vAlign w:val="center"/>
          </w:tcPr>
          <w:p w:rsidR="00DB52E9" w:rsidRDefault="00DB52E9" w:rsidP="007E1AE7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68.98</w:t>
            </w:r>
          </w:p>
        </w:tc>
        <w:tc>
          <w:tcPr>
            <w:tcW w:w="1471" w:type="dxa"/>
            <w:vAlign w:val="center"/>
          </w:tcPr>
          <w:p w:rsidR="00DB52E9" w:rsidRDefault="00DB52E9" w:rsidP="007E1AE7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7.09</w:t>
            </w:r>
          </w:p>
        </w:tc>
        <w:tc>
          <w:tcPr>
            <w:tcW w:w="1489" w:type="dxa"/>
            <w:vAlign w:val="center"/>
          </w:tcPr>
          <w:p w:rsidR="00DB52E9" w:rsidRDefault="00DB52E9" w:rsidP="007E1AE7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46.2</w:t>
            </w:r>
          </w:p>
        </w:tc>
      </w:tr>
    </w:tbl>
    <w:p w:rsidR="004F5A53" w:rsidRPr="004F5A53" w:rsidRDefault="008820E4" w:rsidP="00C350B2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E865B6" w:rsidRPr="00AE4826" w:rsidRDefault="00AE4826" w:rsidP="00AE4826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七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9B390D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B390D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531311" cy="3519577"/>
            <wp:effectExtent l="19050" t="0" r="2839" b="0"/>
            <wp:docPr id="26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26663" cy="351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136257" w:rsidRDefault="00DB52E9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周，国内二甲醚市场涨跌互现，区域走势分化。上周五至周末，市场交投氛围向好，卖方销售无压，推高报盘。周初开始，区域走势开始分化，河北及山东地区受益于开工低位，排货无压，加之主产区甲醇上涨使成本端压力增大，区域内工厂报盘延续走高，周后期趋于平稳；河南及周边市场开供尚可，货源充裕，加之终端客户前期补货结束，卖方意向积极排货，让利促销，周中成交重心整体下移。截止到本周四，二甲醚均价在</w:t>
      </w:r>
      <w:r>
        <w:rPr>
          <w:szCs w:val="21"/>
        </w:rPr>
        <w:t>3366.33</w:t>
      </w:r>
      <w:r>
        <w:rPr>
          <w:rFonts w:hint="eastAsia"/>
          <w:szCs w:val="21"/>
        </w:rPr>
        <w:t>元</w:t>
      </w:r>
      <w:r>
        <w:rPr>
          <w:szCs w:val="21"/>
        </w:rPr>
        <w:t>/</w:t>
      </w:r>
      <w:r>
        <w:rPr>
          <w:rFonts w:hint="eastAsia"/>
          <w:szCs w:val="21"/>
        </w:rPr>
        <w:t>吨，较之上周环比下跌</w:t>
      </w:r>
      <w:r>
        <w:rPr>
          <w:szCs w:val="21"/>
        </w:rPr>
        <w:t>0.13%</w:t>
      </w:r>
      <w:r w:rsidR="002A6B9A">
        <w:rPr>
          <w:rFonts w:hint="eastAsia"/>
          <w:szCs w:val="21"/>
        </w:rPr>
        <w:t>。</w:t>
      </w:r>
    </w:p>
    <w:p w:rsidR="008820E4" w:rsidRPr="00713078" w:rsidRDefault="00DB52E9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本周国内甲醛市场整理为主。山东地区甲醛市场均价为</w:t>
      </w:r>
      <w:r>
        <w:rPr>
          <w:rFonts w:ascii="Calibri" w:hAnsi="Calibri" w:cs="Calibri"/>
          <w:szCs w:val="21"/>
        </w:rPr>
        <w:t>1110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吨，环比上涨</w:t>
      </w:r>
      <w:r>
        <w:rPr>
          <w:rFonts w:ascii="Calibri" w:hAnsi="Calibri" w:cs="Calibri"/>
          <w:szCs w:val="21"/>
        </w:rPr>
        <w:t>1.28%</w:t>
      </w:r>
      <w:r>
        <w:rPr>
          <w:szCs w:val="21"/>
        </w:rPr>
        <w:t>；河北地区甲醛市场均价为</w:t>
      </w:r>
      <w:r>
        <w:rPr>
          <w:rFonts w:ascii="Calibri" w:hAnsi="Calibri" w:cs="Calibri"/>
          <w:szCs w:val="21"/>
        </w:rPr>
        <w:t>1133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吨，环比上涨</w:t>
      </w:r>
      <w:r>
        <w:rPr>
          <w:rFonts w:ascii="Calibri" w:hAnsi="Calibri" w:cs="Calibri"/>
          <w:szCs w:val="21"/>
        </w:rPr>
        <w:t>3.94%</w:t>
      </w:r>
      <w:r>
        <w:rPr>
          <w:szCs w:val="21"/>
        </w:rPr>
        <w:t>。本周内地甲醇市场继续上抬、沿海先弱后强，甲醛成本价格仍高。分市场来看，各地甲醛表现不一：河北市场交投稳定，市场商谈积极跟涨原料，成交走坚；山东地区环保压力继续加大，区内</w:t>
      </w:r>
      <w:r>
        <w:rPr>
          <w:szCs w:val="21"/>
        </w:rPr>
        <w:lastRenderedPageBreak/>
        <w:t>多数企业停工整改，上下游气氛预冷，成交安静；苏北、安徽地区外地低价货源流入减少，企业出货好转；河南地区环保压力仍存，部分企业维持开工状态，出货缓慢；华南市场前期观望，中后期成本推动市场区间窄幅上移，需求制约、市场上行空间有限</w:t>
      </w:r>
      <w:r w:rsidR="002A6B9A">
        <w:rPr>
          <w:szCs w:val="21"/>
        </w:rPr>
        <w:t>。</w:t>
      </w:r>
    </w:p>
    <w:p w:rsidR="00015D10" w:rsidRPr="00713078" w:rsidRDefault="00DB52E9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本周，国内冰醋酸市场窄幅整理为主。截至周四收盘，华东冰醋酸市场收盘在</w:t>
      </w:r>
      <w:r>
        <w:rPr>
          <w:szCs w:val="21"/>
        </w:rPr>
        <w:t>2900-3150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吨，华东周均价</w:t>
      </w:r>
      <w:r>
        <w:rPr>
          <w:szCs w:val="21"/>
        </w:rPr>
        <w:t>3034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吨，与上周持平。周内冰醋酸装置变动较多，江苏索普与南京</w:t>
      </w:r>
      <w:r>
        <w:rPr>
          <w:szCs w:val="21"/>
        </w:rPr>
        <w:t>BP</w:t>
      </w:r>
      <w:r>
        <w:rPr>
          <w:szCs w:val="21"/>
        </w:rPr>
        <w:t>装置周末故障，随后缓慢恢复中；河北英都气化装置上周五投料周末有产品出；河南义马与延长石油装置下半周重启。周内虽装置变动较多，但各工厂库存仍多处低位，加之部分工厂存供应缺口，冰醋酸工厂供应无压。而需求方面，受限于新一轮环保风暴，部分小型下游工厂需求受限，市场交投节奏更显滞缓。供求两淡下，市场商谈整体僵持，个别商谈有少许松动，业者多持观望态度</w:t>
      </w:r>
      <w:r>
        <w:rPr>
          <w:rFonts w:hint="eastAsia"/>
          <w:szCs w:val="21"/>
        </w:rPr>
        <w:t>。</w:t>
      </w:r>
    </w:p>
    <w:p w:rsidR="00036EC3" w:rsidRDefault="00AE4826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E865B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产业链利润情况</w:t>
      </w:r>
    </w:p>
    <w:p w:rsidR="008820E4" w:rsidRPr="00F00B5E" w:rsidRDefault="009B390D" w:rsidP="00F00B5E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9B390D">
        <w:rPr>
          <w:rFonts w:ascii="宋体" w:hAnsi="宋体" w:cs="宋体"/>
          <w:noProof/>
          <w:color w:val="000000"/>
          <w:kern w:val="0"/>
          <w:sz w:val="22"/>
          <w:szCs w:val="22"/>
        </w:rPr>
        <w:drawing>
          <wp:inline distT="0" distB="0" distL="0" distR="0">
            <wp:extent cx="6122958" cy="2766796"/>
            <wp:effectExtent l="19050" t="0" r="0" b="0"/>
            <wp:docPr id="27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133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7D1331" w:rsidRPr="007A2F2F" w:rsidRDefault="007D1331" w:rsidP="00180149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7A2F2F">
        <w:rPr>
          <w:rFonts w:ascii="宋体" w:hAnsi="宋体" w:cs="Arial" w:hint="eastAsia"/>
          <w:kern w:val="0"/>
          <w:szCs w:val="21"/>
        </w:rPr>
        <w:t>从产业链的利润情况来看，</w:t>
      </w:r>
      <w:r w:rsidR="009A34B0">
        <w:rPr>
          <w:rFonts w:ascii="宋体" w:hAnsi="宋体" w:cs="Arial" w:hint="eastAsia"/>
          <w:kern w:val="0"/>
          <w:szCs w:val="21"/>
        </w:rPr>
        <w:t>随着甲醇以及下游产品价格不断下移，产业链利润重新分配。甲醇端利润逐渐向下游转移，MTO利润已经大幅好转</w:t>
      </w:r>
      <w:r w:rsidR="00015D10">
        <w:rPr>
          <w:rFonts w:ascii="宋体" w:hAnsi="宋体" w:cs="Arial" w:hint="eastAsia"/>
          <w:kern w:val="0"/>
          <w:szCs w:val="21"/>
        </w:rPr>
        <w:t>，但近期又有所恶化</w:t>
      </w:r>
      <w:r w:rsidR="009A34B0">
        <w:rPr>
          <w:rFonts w:ascii="宋体" w:hAnsi="宋体" w:cs="Arial" w:hint="eastAsia"/>
          <w:kern w:val="0"/>
          <w:szCs w:val="21"/>
        </w:rPr>
        <w:t>。传统下游利润恢复，也在平衡点之上。</w:t>
      </w:r>
    </w:p>
    <w:p w:rsidR="007D1331" w:rsidRDefault="007D1331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九、总结</w:t>
      </w:r>
    </w:p>
    <w:p w:rsidR="00015D10" w:rsidRDefault="00DB52E9" w:rsidP="00350FC1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从供需面来看，目前主产区甲醇生产平稳，供应当地烯烃装置为主，外发货物预售为主，北线仍无库存压力，但南线库存稳中有升。而内地因环保影响，部分下游开工负荷下降，成交减量。预计下周主产区库存略增下继续推涨几率不大；而流入内地套利空间有限，且内地货源消化速度放缓，生产企业不乏谨慎出货为主，价格高位整理中或存窄幅回调预期。但目前运输物流车辆较少，内地商谈或延续区间偏弱整理。下游受环保影响</w:t>
      </w:r>
      <w:r>
        <w:rPr>
          <w:szCs w:val="21"/>
        </w:rPr>
        <w:lastRenderedPageBreak/>
        <w:t>延续，整体采购维持刚需为主，成交量或难有起色，继续关注下游接货和成交放量情况。沿海甲醇市场投机和下游需求仍较为谨慎，除了刚需补货以外，现货整体库存化进程仍显缓慢且</w:t>
      </w:r>
      <w:r>
        <w:rPr>
          <w:rFonts w:ascii="Calibri" w:hAnsi="Calibri" w:cs="Calibri"/>
          <w:szCs w:val="21"/>
        </w:rPr>
        <w:t>8</w:t>
      </w:r>
      <w:r>
        <w:rPr>
          <w:szCs w:val="21"/>
        </w:rPr>
        <w:t>月中下旬进口船货到港集中，多数业者对于后市心态仍较为复杂，因此现货</w:t>
      </w:r>
      <w:r>
        <w:rPr>
          <w:rFonts w:ascii="Calibri" w:hAnsi="Calibri" w:cs="Calibri"/>
          <w:szCs w:val="21"/>
        </w:rPr>
        <w:t>2450-2550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吨区间位置向上或者向下并非易事。预计下周沿海市场僵持整理为主。关注山东明水固有的</w:t>
      </w:r>
      <w:r>
        <w:rPr>
          <w:rFonts w:ascii="Calibri" w:hAnsi="Calibri" w:cs="Calibri"/>
          <w:szCs w:val="21"/>
        </w:rPr>
        <w:t>30</w:t>
      </w:r>
      <w:r>
        <w:rPr>
          <w:szCs w:val="21"/>
        </w:rPr>
        <w:t>万吨装置重启以及华鲁恒升</w:t>
      </w:r>
      <w:r>
        <w:rPr>
          <w:rFonts w:ascii="Calibri" w:hAnsi="Calibri" w:cs="Calibri"/>
          <w:szCs w:val="21"/>
        </w:rPr>
        <w:t>100</w:t>
      </w:r>
      <w:r>
        <w:rPr>
          <w:szCs w:val="21"/>
        </w:rPr>
        <w:t>万吨甲醇装置投料销售的具体时间</w:t>
      </w:r>
      <w:r w:rsidR="002A6B9A">
        <w:rPr>
          <w:szCs w:val="21"/>
        </w:rPr>
        <w:t>。</w:t>
      </w: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P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61C" w:rsidRDefault="0002761C">
      <w:r>
        <w:separator/>
      </w:r>
    </w:p>
  </w:endnote>
  <w:endnote w:type="continuationSeparator" w:id="1">
    <w:p w:rsidR="0002761C" w:rsidRDefault="0002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宋体_..潮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_.樀..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880B2A">
    <w:pPr>
      <w:pStyle w:val="ab"/>
      <w:jc w:val="center"/>
    </w:pPr>
    <w:fldSimple w:instr=" PAGE   \* MERGEFORMAT ">
      <w:r w:rsidR="00DB52E9" w:rsidRPr="00DB52E9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880B2A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61C" w:rsidRDefault="0002761C">
      <w:r>
        <w:separator/>
      </w:r>
    </w:p>
  </w:footnote>
  <w:footnote w:type="continuationSeparator" w:id="1">
    <w:p w:rsidR="0002761C" w:rsidRDefault="00027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880B2A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880B2A" w:rsidP="00C32A93">
    <w:pPr>
      <w:rPr>
        <w:rFonts w:ascii="华文新魏" w:eastAsia="华文新魏"/>
        <w:i/>
        <w:color w:val="17365D"/>
        <w:sz w:val="44"/>
      </w:rPr>
    </w:pPr>
    <w:r w:rsidRPr="00880B2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880B2A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80B2A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1C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5E9"/>
    <w:rsid w:val="00037A0B"/>
    <w:rsid w:val="00037CAF"/>
    <w:rsid w:val="00040905"/>
    <w:rsid w:val="00041762"/>
    <w:rsid w:val="00042AC1"/>
    <w:rsid w:val="00042ACE"/>
    <w:rsid w:val="0004317E"/>
    <w:rsid w:val="00043D72"/>
    <w:rsid w:val="00045320"/>
    <w:rsid w:val="000453AB"/>
    <w:rsid w:val="00047CA5"/>
    <w:rsid w:val="00050FE0"/>
    <w:rsid w:val="00051031"/>
    <w:rsid w:val="00051F65"/>
    <w:rsid w:val="00052091"/>
    <w:rsid w:val="00052B6B"/>
    <w:rsid w:val="00054FBA"/>
    <w:rsid w:val="000554E3"/>
    <w:rsid w:val="00057498"/>
    <w:rsid w:val="00057D0A"/>
    <w:rsid w:val="00057D76"/>
    <w:rsid w:val="00057DD5"/>
    <w:rsid w:val="000600FC"/>
    <w:rsid w:val="000608C3"/>
    <w:rsid w:val="000610FF"/>
    <w:rsid w:val="00062C0D"/>
    <w:rsid w:val="00062DAD"/>
    <w:rsid w:val="00063765"/>
    <w:rsid w:val="00063AB9"/>
    <w:rsid w:val="00064D8F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C4E"/>
    <w:rsid w:val="000759B9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B25"/>
    <w:rsid w:val="00090E3A"/>
    <w:rsid w:val="00091532"/>
    <w:rsid w:val="00092534"/>
    <w:rsid w:val="00093738"/>
    <w:rsid w:val="00093C87"/>
    <w:rsid w:val="0009426A"/>
    <w:rsid w:val="00094972"/>
    <w:rsid w:val="00095D15"/>
    <w:rsid w:val="00095FF8"/>
    <w:rsid w:val="000969F3"/>
    <w:rsid w:val="00096BA5"/>
    <w:rsid w:val="00096E35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49AF"/>
    <w:rsid w:val="000B57A1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72E7"/>
    <w:rsid w:val="000E1450"/>
    <w:rsid w:val="000E2972"/>
    <w:rsid w:val="000E35B4"/>
    <w:rsid w:val="000E43DA"/>
    <w:rsid w:val="000E45F7"/>
    <w:rsid w:val="000E4737"/>
    <w:rsid w:val="000E49BB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5409"/>
    <w:rsid w:val="001D57D8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7D3"/>
    <w:rsid w:val="001E5888"/>
    <w:rsid w:val="001E6B69"/>
    <w:rsid w:val="001E769F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5C22"/>
    <w:rsid w:val="00246578"/>
    <w:rsid w:val="002502B2"/>
    <w:rsid w:val="0025128E"/>
    <w:rsid w:val="002516D0"/>
    <w:rsid w:val="0025199E"/>
    <w:rsid w:val="00252A11"/>
    <w:rsid w:val="002539CD"/>
    <w:rsid w:val="002543C5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37B"/>
    <w:rsid w:val="00331491"/>
    <w:rsid w:val="00331E7F"/>
    <w:rsid w:val="003342F2"/>
    <w:rsid w:val="0033449D"/>
    <w:rsid w:val="00334F18"/>
    <w:rsid w:val="0033574E"/>
    <w:rsid w:val="003367F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205C"/>
    <w:rsid w:val="0034264C"/>
    <w:rsid w:val="00343DD0"/>
    <w:rsid w:val="00345877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542D"/>
    <w:rsid w:val="00355BB0"/>
    <w:rsid w:val="003569D8"/>
    <w:rsid w:val="00356A0E"/>
    <w:rsid w:val="0035739B"/>
    <w:rsid w:val="00357554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43C"/>
    <w:rsid w:val="003657A6"/>
    <w:rsid w:val="00365DE9"/>
    <w:rsid w:val="00365F70"/>
    <w:rsid w:val="0036602C"/>
    <w:rsid w:val="00366143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FAE"/>
    <w:rsid w:val="0041620C"/>
    <w:rsid w:val="00416935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F70"/>
    <w:rsid w:val="00450040"/>
    <w:rsid w:val="00450246"/>
    <w:rsid w:val="004511F9"/>
    <w:rsid w:val="0045130F"/>
    <w:rsid w:val="00453482"/>
    <w:rsid w:val="00454B85"/>
    <w:rsid w:val="004551F4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7663A"/>
    <w:rsid w:val="004809A6"/>
    <w:rsid w:val="0048150A"/>
    <w:rsid w:val="004847B0"/>
    <w:rsid w:val="0048486C"/>
    <w:rsid w:val="0048499B"/>
    <w:rsid w:val="00484FA7"/>
    <w:rsid w:val="0048517C"/>
    <w:rsid w:val="0048542C"/>
    <w:rsid w:val="00486A2B"/>
    <w:rsid w:val="004873DE"/>
    <w:rsid w:val="004878DF"/>
    <w:rsid w:val="00490AB5"/>
    <w:rsid w:val="00490FDB"/>
    <w:rsid w:val="004910C8"/>
    <w:rsid w:val="004911E2"/>
    <w:rsid w:val="00491AE3"/>
    <w:rsid w:val="004920CC"/>
    <w:rsid w:val="0049249A"/>
    <w:rsid w:val="00493288"/>
    <w:rsid w:val="00493404"/>
    <w:rsid w:val="00493701"/>
    <w:rsid w:val="00493C9A"/>
    <w:rsid w:val="00495A3E"/>
    <w:rsid w:val="00496F01"/>
    <w:rsid w:val="00497714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B64"/>
    <w:rsid w:val="004B2949"/>
    <w:rsid w:val="004B2B25"/>
    <w:rsid w:val="004B37E7"/>
    <w:rsid w:val="004B3895"/>
    <w:rsid w:val="004B403A"/>
    <w:rsid w:val="004B446D"/>
    <w:rsid w:val="004B49D6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712"/>
    <w:rsid w:val="004C6B4D"/>
    <w:rsid w:val="004C6B9D"/>
    <w:rsid w:val="004C7135"/>
    <w:rsid w:val="004C783B"/>
    <w:rsid w:val="004D27FA"/>
    <w:rsid w:val="004D330F"/>
    <w:rsid w:val="004D33D3"/>
    <w:rsid w:val="004D3482"/>
    <w:rsid w:val="004D38C1"/>
    <w:rsid w:val="004D51C5"/>
    <w:rsid w:val="004D65BB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2295"/>
    <w:rsid w:val="00512BAA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7351"/>
    <w:rsid w:val="005479DD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DC"/>
    <w:rsid w:val="005709E9"/>
    <w:rsid w:val="00570ED7"/>
    <w:rsid w:val="005719D8"/>
    <w:rsid w:val="00571D7A"/>
    <w:rsid w:val="0057227B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EB1"/>
    <w:rsid w:val="00585F5D"/>
    <w:rsid w:val="005874AD"/>
    <w:rsid w:val="00587B61"/>
    <w:rsid w:val="00590012"/>
    <w:rsid w:val="005902E7"/>
    <w:rsid w:val="00590A3E"/>
    <w:rsid w:val="005918ED"/>
    <w:rsid w:val="00591A51"/>
    <w:rsid w:val="00592FEA"/>
    <w:rsid w:val="005939A6"/>
    <w:rsid w:val="00594043"/>
    <w:rsid w:val="005944DA"/>
    <w:rsid w:val="00594EDD"/>
    <w:rsid w:val="00594EE5"/>
    <w:rsid w:val="00596BE7"/>
    <w:rsid w:val="00597786"/>
    <w:rsid w:val="005A019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6352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98D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D44"/>
    <w:rsid w:val="00735035"/>
    <w:rsid w:val="00735072"/>
    <w:rsid w:val="00735AD4"/>
    <w:rsid w:val="00736026"/>
    <w:rsid w:val="00736DD4"/>
    <w:rsid w:val="00740116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E09"/>
    <w:rsid w:val="00754613"/>
    <w:rsid w:val="007548A3"/>
    <w:rsid w:val="00756F5D"/>
    <w:rsid w:val="0075717C"/>
    <w:rsid w:val="007575C6"/>
    <w:rsid w:val="00760038"/>
    <w:rsid w:val="0076069B"/>
    <w:rsid w:val="00760AB2"/>
    <w:rsid w:val="00761495"/>
    <w:rsid w:val="007615D6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ACB"/>
    <w:rsid w:val="007F6F57"/>
    <w:rsid w:val="007F7317"/>
    <w:rsid w:val="00800E62"/>
    <w:rsid w:val="00801863"/>
    <w:rsid w:val="0080229F"/>
    <w:rsid w:val="00803498"/>
    <w:rsid w:val="00803AC9"/>
    <w:rsid w:val="0080473B"/>
    <w:rsid w:val="00804C21"/>
    <w:rsid w:val="008050DF"/>
    <w:rsid w:val="00805B0A"/>
    <w:rsid w:val="00805F80"/>
    <w:rsid w:val="00806FBF"/>
    <w:rsid w:val="00810230"/>
    <w:rsid w:val="008107A3"/>
    <w:rsid w:val="00811ECE"/>
    <w:rsid w:val="00811F44"/>
    <w:rsid w:val="0081214E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5C1C"/>
    <w:rsid w:val="00855FA6"/>
    <w:rsid w:val="00856B7F"/>
    <w:rsid w:val="00856E91"/>
    <w:rsid w:val="00857269"/>
    <w:rsid w:val="00860FE1"/>
    <w:rsid w:val="00861335"/>
    <w:rsid w:val="00861891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0B2A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6448"/>
    <w:rsid w:val="00896790"/>
    <w:rsid w:val="0089684D"/>
    <w:rsid w:val="00897F25"/>
    <w:rsid w:val="008A1A47"/>
    <w:rsid w:val="008A25E0"/>
    <w:rsid w:val="008A3ABE"/>
    <w:rsid w:val="008A3B06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435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88D"/>
    <w:rsid w:val="00994C5E"/>
    <w:rsid w:val="0099601B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6E38"/>
    <w:rsid w:val="00A67139"/>
    <w:rsid w:val="00A6722A"/>
    <w:rsid w:val="00A70011"/>
    <w:rsid w:val="00A701DE"/>
    <w:rsid w:val="00A70D2A"/>
    <w:rsid w:val="00A71450"/>
    <w:rsid w:val="00A7184C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F4"/>
    <w:rsid w:val="00AF109C"/>
    <w:rsid w:val="00AF1149"/>
    <w:rsid w:val="00AF1176"/>
    <w:rsid w:val="00AF2B68"/>
    <w:rsid w:val="00AF32A1"/>
    <w:rsid w:val="00AF4796"/>
    <w:rsid w:val="00AF66D1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1A6"/>
    <w:rsid w:val="00B2624D"/>
    <w:rsid w:val="00B26280"/>
    <w:rsid w:val="00B26521"/>
    <w:rsid w:val="00B27B49"/>
    <w:rsid w:val="00B300F1"/>
    <w:rsid w:val="00B3100D"/>
    <w:rsid w:val="00B317F4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6CF"/>
    <w:rsid w:val="00B53A8B"/>
    <w:rsid w:val="00B54915"/>
    <w:rsid w:val="00B54AA6"/>
    <w:rsid w:val="00B550C7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75C8"/>
    <w:rsid w:val="00B677C8"/>
    <w:rsid w:val="00B67BF1"/>
    <w:rsid w:val="00B70D7F"/>
    <w:rsid w:val="00B70F14"/>
    <w:rsid w:val="00B71498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E0C2F"/>
    <w:rsid w:val="00BE1E76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012"/>
    <w:rsid w:val="00C04E95"/>
    <w:rsid w:val="00C05B6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E5"/>
    <w:rsid w:val="00C94BB9"/>
    <w:rsid w:val="00C94E5F"/>
    <w:rsid w:val="00C967BA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5F3E"/>
    <w:rsid w:val="00CB7092"/>
    <w:rsid w:val="00CB7380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48C0"/>
    <w:rsid w:val="00CC4E5D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7276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7D2"/>
    <w:rsid w:val="00D03B33"/>
    <w:rsid w:val="00D04494"/>
    <w:rsid w:val="00D0533D"/>
    <w:rsid w:val="00D053C8"/>
    <w:rsid w:val="00D058F5"/>
    <w:rsid w:val="00D068CB"/>
    <w:rsid w:val="00D10042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195"/>
    <w:rsid w:val="00D17645"/>
    <w:rsid w:val="00D17A81"/>
    <w:rsid w:val="00D20881"/>
    <w:rsid w:val="00D20B66"/>
    <w:rsid w:val="00D20D7B"/>
    <w:rsid w:val="00D21FD4"/>
    <w:rsid w:val="00D2341F"/>
    <w:rsid w:val="00D24408"/>
    <w:rsid w:val="00D253D7"/>
    <w:rsid w:val="00D2579B"/>
    <w:rsid w:val="00D265B1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DC2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2E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77E"/>
    <w:rsid w:val="00E178D9"/>
    <w:rsid w:val="00E17CE8"/>
    <w:rsid w:val="00E204FF"/>
    <w:rsid w:val="00E20617"/>
    <w:rsid w:val="00E20977"/>
    <w:rsid w:val="00E2463E"/>
    <w:rsid w:val="00E24CCB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F57"/>
    <w:rsid w:val="00EA7817"/>
    <w:rsid w:val="00EA7C69"/>
    <w:rsid w:val="00EB02EB"/>
    <w:rsid w:val="00EB05FF"/>
    <w:rsid w:val="00EB1A5E"/>
    <w:rsid w:val="00EB1BC9"/>
    <w:rsid w:val="00EB219E"/>
    <w:rsid w:val="00EB2756"/>
    <w:rsid w:val="00EB27CB"/>
    <w:rsid w:val="00EB2D06"/>
    <w:rsid w:val="00EB3318"/>
    <w:rsid w:val="00EB40F2"/>
    <w:rsid w:val="00EB42FA"/>
    <w:rsid w:val="00EB496E"/>
    <w:rsid w:val="00EB4A19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1469"/>
    <w:rsid w:val="00F2162C"/>
    <w:rsid w:val="00F21729"/>
    <w:rsid w:val="00F2187E"/>
    <w:rsid w:val="00F221AF"/>
    <w:rsid w:val="00F23B66"/>
    <w:rsid w:val="00F23EFB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3089</TotalTime>
  <Pages>10</Pages>
  <Words>617</Words>
  <Characters>3523</Characters>
  <Application>Microsoft Office Word</Application>
  <DocSecurity>0</DocSecurity>
  <Lines>29</Lines>
  <Paragraphs>8</Paragraphs>
  <ScaleCrop>false</ScaleCrop>
  <Company>cicc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57</cp:revision>
  <cp:lastPrinted>2014-12-12T08:51:00Z</cp:lastPrinted>
  <dcterms:created xsi:type="dcterms:W3CDTF">2017-02-09T08:52:00Z</dcterms:created>
  <dcterms:modified xsi:type="dcterms:W3CDTF">2017-08-21T09:02:00Z</dcterms:modified>
</cp:coreProperties>
</file>