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6F7955" w:rsidP="00F1036E">
      <w:pPr>
        <w:spacing w:line="500" w:lineRule="exact"/>
        <w:ind w:leftChars="-405" w:left="-7" w:hangingChars="400" w:hanging="843"/>
        <w:rPr>
          <w:rFonts w:ascii="宋体" w:hAnsi="宋体" w:cs="Arial"/>
          <w:color w:val="FFFFFF"/>
          <w:sz w:val="28"/>
          <w:szCs w:val="28"/>
        </w:rPr>
      </w:pPr>
      <w:r w:rsidRPr="006F7955">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107.7pt;z-index:251657216" stroked="f">
            <v:textbox style="mso-next-textbox:#_x0000_s1028" inset="2mm,,2mm">
              <w:txbxContent>
                <w:p w:rsidR="009A34B0" w:rsidRPr="00015D10" w:rsidRDefault="009A34B0" w:rsidP="00015D10">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Pr="00F1036E">
                    <w:rPr>
                      <w:rFonts w:ascii="黑体" w:eastAsia="黑体" w:hAnsi="黑体" w:hint="eastAsia"/>
                      <w:b/>
                      <w:bCs/>
                      <w:color w:val="365F91"/>
                      <w:sz w:val="32"/>
                      <w:szCs w:val="32"/>
                    </w:rPr>
                    <w:t>：</w:t>
                  </w:r>
                  <w:r w:rsidR="00136257">
                    <w:rPr>
                      <w:rFonts w:ascii="黑体" w:eastAsia="黑体" w:hAnsi="黑体" w:hint="eastAsia"/>
                      <w:b/>
                      <w:bCs/>
                      <w:color w:val="365F91"/>
                      <w:sz w:val="32"/>
                      <w:szCs w:val="32"/>
                    </w:rPr>
                    <w:t>商品普跌，甲醇跟随</w:t>
                  </w:r>
                </w:p>
              </w:txbxContent>
            </v:textbox>
          </v:shape>
        </w:pict>
      </w:r>
      <w:r w:rsidRPr="006F7955">
        <w:rPr>
          <w:rFonts w:ascii="宋体" w:hAnsi="宋体" w:cs="Arial"/>
          <w:szCs w:val="21"/>
        </w:rPr>
      </w:r>
      <w:r w:rsidRPr="006F7955">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9A34B0" w:rsidRPr="004B0519" w:rsidRDefault="009A34B0"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2017</w:t>
                  </w:r>
                  <w:r>
                    <w:rPr>
                      <w:rFonts w:eastAsia="楷体_GB2312" w:hint="eastAsia"/>
                      <w:b/>
                      <w:color w:val="FFFFFF"/>
                      <w:sz w:val="28"/>
                      <w:szCs w:val="28"/>
                    </w:rPr>
                    <w:t>年</w:t>
                  </w:r>
                  <w:r w:rsidR="008345A4">
                    <w:rPr>
                      <w:rFonts w:eastAsia="楷体_GB2312" w:hint="eastAsia"/>
                      <w:b/>
                      <w:color w:val="FFFFFF"/>
                      <w:sz w:val="28"/>
                      <w:szCs w:val="28"/>
                    </w:rPr>
                    <w:t>7</w:t>
                  </w:r>
                  <w:r>
                    <w:rPr>
                      <w:rFonts w:eastAsia="楷体_GB2312" w:hint="eastAsia"/>
                      <w:b/>
                      <w:color w:val="FFFFFF"/>
                      <w:sz w:val="28"/>
                      <w:szCs w:val="28"/>
                    </w:rPr>
                    <w:t>月</w:t>
                  </w:r>
                  <w:r w:rsidR="00240CEE">
                    <w:rPr>
                      <w:rFonts w:eastAsia="楷体_GB2312" w:hint="eastAsia"/>
                      <w:b/>
                      <w:color w:val="FFFFFF"/>
                      <w:sz w:val="28"/>
                      <w:szCs w:val="28"/>
                    </w:rPr>
                    <w:t>31</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Default="00DD34A6" w:rsidP="00F81AB7">
      <w:pPr>
        <w:autoSpaceDE w:val="0"/>
        <w:autoSpaceDN w:val="0"/>
        <w:adjustRightInd w:val="0"/>
        <w:spacing w:line="360" w:lineRule="auto"/>
        <w:ind w:firstLineChars="200" w:firstLine="420"/>
        <w:jc w:val="left"/>
        <w:rPr>
          <w:rFonts w:ascii="STXihei" w:hAnsi="STXihei" w:cs="STXihei"/>
          <w:color w:val="000000"/>
          <w:kern w:val="0"/>
          <w:szCs w:val="21"/>
        </w:rPr>
      </w:pPr>
      <w:r w:rsidRPr="00E26E25">
        <w:rPr>
          <w:rFonts w:hint="eastAsia"/>
          <w:szCs w:val="21"/>
        </w:rPr>
        <w:t>本周甲醇</w:t>
      </w:r>
      <w:r w:rsidR="00E601DD">
        <w:rPr>
          <w:rFonts w:hint="eastAsia"/>
          <w:szCs w:val="21"/>
        </w:rPr>
        <w:t>大幅下挫</w:t>
      </w:r>
      <w:r w:rsidR="008E0289" w:rsidRPr="00E26E25">
        <w:rPr>
          <w:rFonts w:hint="eastAsia"/>
          <w:szCs w:val="21"/>
        </w:rPr>
        <w:t>。</w:t>
      </w:r>
      <w:r w:rsidR="003205D8" w:rsidRPr="00E26E25">
        <w:rPr>
          <w:rFonts w:hint="eastAsia"/>
          <w:szCs w:val="21"/>
        </w:rPr>
        <w:t>1709</w:t>
      </w:r>
      <w:r w:rsidR="003205D8" w:rsidRPr="00E26E25">
        <w:rPr>
          <w:rFonts w:hint="eastAsia"/>
          <w:szCs w:val="21"/>
        </w:rPr>
        <w:t>合约</w:t>
      </w:r>
      <w:r w:rsidR="00FA3E4C" w:rsidRPr="00E26E25">
        <w:rPr>
          <w:rFonts w:hint="eastAsia"/>
          <w:szCs w:val="21"/>
        </w:rPr>
        <w:t>开盘</w:t>
      </w:r>
      <w:r w:rsidR="007F3E1D" w:rsidRPr="00E26E25">
        <w:rPr>
          <w:rFonts w:hint="eastAsia"/>
          <w:szCs w:val="21"/>
        </w:rPr>
        <w:t>2</w:t>
      </w:r>
      <w:r w:rsidR="00535210">
        <w:rPr>
          <w:rFonts w:hint="eastAsia"/>
          <w:szCs w:val="21"/>
        </w:rPr>
        <w:t>4</w:t>
      </w:r>
      <w:r w:rsidR="00E601DD">
        <w:rPr>
          <w:rFonts w:hint="eastAsia"/>
          <w:szCs w:val="21"/>
        </w:rPr>
        <w:t>91</w:t>
      </w:r>
      <w:r w:rsidR="00FA3E4C" w:rsidRPr="00E26E25">
        <w:rPr>
          <w:rFonts w:hint="eastAsia"/>
          <w:szCs w:val="21"/>
        </w:rPr>
        <w:t>，周最高</w:t>
      </w:r>
      <w:r w:rsidR="00804C21" w:rsidRPr="00E26E25">
        <w:rPr>
          <w:rFonts w:hint="eastAsia"/>
          <w:szCs w:val="21"/>
        </w:rPr>
        <w:t>2</w:t>
      </w:r>
      <w:r w:rsidR="00E601DD">
        <w:rPr>
          <w:rFonts w:hint="eastAsia"/>
          <w:szCs w:val="21"/>
        </w:rPr>
        <w:t>525</w:t>
      </w:r>
      <w:r w:rsidR="00FA3E4C" w:rsidRPr="00E26E25">
        <w:rPr>
          <w:rFonts w:hint="eastAsia"/>
          <w:szCs w:val="21"/>
        </w:rPr>
        <w:t>，最低</w:t>
      </w:r>
      <w:r w:rsidR="007F3E1D" w:rsidRPr="00E26E25">
        <w:rPr>
          <w:rFonts w:hint="eastAsia"/>
          <w:szCs w:val="21"/>
        </w:rPr>
        <w:t>2</w:t>
      </w:r>
      <w:r w:rsidR="00E601DD">
        <w:rPr>
          <w:rFonts w:hint="eastAsia"/>
          <w:szCs w:val="21"/>
        </w:rPr>
        <w:t>350</w:t>
      </w:r>
      <w:r w:rsidR="00FA3E4C" w:rsidRPr="00E26E25">
        <w:rPr>
          <w:rFonts w:hint="eastAsia"/>
          <w:szCs w:val="21"/>
        </w:rPr>
        <w:t>，收盘</w:t>
      </w:r>
      <w:r w:rsidR="007F3E1D" w:rsidRPr="00E26E25">
        <w:rPr>
          <w:rFonts w:hint="eastAsia"/>
          <w:szCs w:val="21"/>
        </w:rPr>
        <w:t>2</w:t>
      </w:r>
      <w:r w:rsidR="00E601DD">
        <w:rPr>
          <w:rFonts w:hint="eastAsia"/>
          <w:szCs w:val="21"/>
        </w:rPr>
        <w:t>368</w:t>
      </w:r>
      <w:r w:rsidR="002516D0" w:rsidRPr="00E26E25">
        <w:rPr>
          <w:rFonts w:hint="eastAsia"/>
          <w:szCs w:val="21"/>
        </w:rPr>
        <w:t>，较上周</w:t>
      </w:r>
      <w:r w:rsidR="00E601DD">
        <w:rPr>
          <w:rFonts w:hint="eastAsia"/>
          <w:szCs w:val="21"/>
        </w:rPr>
        <w:t>大跌</w:t>
      </w:r>
      <w:r w:rsidR="00E601DD">
        <w:rPr>
          <w:rFonts w:hint="eastAsia"/>
          <w:szCs w:val="21"/>
        </w:rPr>
        <w:t>128</w:t>
      </w:r>
      <w:r w:rsidR="002516D0" w:rsidRPr="00E26E25">
        <w:rPr>
          <w:rFonts w:hint="eastAsia"/>
          <w:szCs w:val="21"/>
        </w:rPr>
        <w:t>点</w:t>
      </w:r>
      <w:r w:rsidR="003205D8" w:rsidRPr="00E26E25">
        <w:rPr>
          <w:rFonts w:hint="eastAsia"/>
          <w:szCs w:val="21"/>
        </w:rPr>
        <w:t>。</w:t>
      </w:r>
      <w:r w:rsidR="00FA3E4C" w:rsidRPr="00E26E25">
        <w:rPr>
          <w:rFonts w:hint="eastAsia"/>
          <w:szCs w:val="21"/>
        </w:rPr>
        <w:t>成交</w:t>
      </w:r>
      <w:r w:rsidR="00E601DD">
        <w:rPr>
          <w:rFonts w:hint="eastAsia"/>
          <w:szCs w:val="21"/>
        </w:rPr>
        <w:t>489.9</w:t>
      </w:r>
      <w:r w:rsidR="00804C21" w:rsidRPr="00E26E25">
        <w:rPr>
          <w:rFonts w:hint="eastAsia"/>
          <w:szCs w:val="21"/>
        </w:rPr>
        <w:t>万手，</w:t>
      </w:r>
      <w:r w:rsidR="006E65E3">
        <w:rPr>
          <w:rFonts w:hint="eastAsia"/>
          <w:szCs w:val="21"/>
        </w:rPr>
        <w:t>减</w:t>
      </w:r>
      <w:r w:rsidR="006E65E3">
        <w:rPr>
          <w:rFonts w:hint="eastAsia"/>
          <w:szCs w:val="21"/>
        </w:rPr>
        <w:t>131.7</w:t>
      </w:r>
      <w:r w:rsidR="00FA3E4C" w:rsidRPr="00E26E25">
        <w:rPr>
          <w:rFonts w:hint="eastAsia"/>
          <w:szCs w:val="21"/>
        </w:rPr>
        <w:t>万手，持仓</w:t>
      </w:r>
      <w:r w:rsidR="006E65E3">
        <w:rPr>
          <w:rFonts w:hint="eastAsia"/>
          <w:szCs w:val="21"/>
        </w:rPr>
        <w:t>53.7</w:t>
      </w:r>
      <w:r w:rsidR="00FA3E4C" w:rsidRPr="00E26E25">
        <w:rPr>
          <w:rFonts w:hint="eastAsia"/>
          <w:szCs w:val="21"/>
        </w:rPr>
        <w:t>万手，</w:t>
      </w:r>
      <w:r w:rsidR="00535210">
        <w:rPr>
          <w:rFonts w:hint="eastAsia"/>
          <w:szCs w:val="21"/>
        </w:rPr>
        <w:t>减</w:t>
      </w:r>
      <w:r w:rsidR="006E65E3">
        <w:rPr>
          <w:rFonts w:hint="eastAsia"/>
          <w:szCs w:val="21"/>
        </w:rPr>
        <w:t>15.6</w:t>
      </w:r>
      <w:r w:rsidR="00FA3E4C" w:rsidRPr="00E26E25">
        <w:rPr>
          <w:rFonts w:hint="eastAsia"/>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240CEE" w:rsidTr="009F1D84">
        <w:trPr>
          <w:cnfStyle w:val="000000100000"/>
          <w:trHeight w:val="469"/>
        </w:trPr>
        <w:tc>
          <w:tcPr>
            <w:cnfStyle w:val="001000000000"/>
            <w:tcW w:w="3436" w:type="dxa"/>
          </w:tcPr>
          <w:p w:rsidR="00240CEE" w:rsidRDefault="00240CE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240CEE" w:rsidRDefault="00240CEE"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24</w:t>
            </w:r>
            <w:r w:rsidR="00731424">
              <w:rPr>
                <w:rFonts w:ascii="STXihei" w:hAnsi="STXihei" w:cs="STXihei" w:hint="eastAsia"/>
                <w:color w:val="000000"/>
                <w:kern w:val="0"/>
                <w:szCs w:val="21"/>
              </w:rPr>
              <w:t>91</w:t>
            </w:r>
          </w:p>
        </w:tc>
        <w:tc>
          <w:tcPr>
            <w:tcW w:w="3438" w:type="dxa"/>
          </w:tcPr>
          <w:p w:rsidR="00240CEE" w:rsidRDefault="00240CEE" w:rsidP="00810F82">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2486</w:t>
            </w:r>
          </w:p>
        </w:tc>
      </w:tr>
      <w:tr w:rsidR="00240CEE" w:rsidTr="009F1D84">
        <w:trPr>
          <w:cnfStyle w:val="000000010000"/>
          <w:trHeight w:val="469"/>
        </w:trPr>
        <w:tc>
          <w:tcPr>
            <w:cnfStyle w:val="001000000000"/>
            <w:tcW w:w="3436" w:type="dxa"/>
          </w:tcPr>
          <w:p w:rsidR="00240CEE" w:rsidRDefault="00240CE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240CEE" w:rsidRDefault="00240CEE" w:rsidP="00F81AB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w:t>
            </w:r>
            <w:r w:rsidR="00731424">
              <w:rPr>
                <w:rFonts w:ascii="STXihei" w:hAnsi="STXihei" w:cs="STXihei" w:hint="eastAsia"/>
                <w:color w:val="000000"/>
                <w:kern w:val="0"/>
                <w:szCs w:val="21"/>
              </w:rPr>
              <w:t>525</w:t>
            </w:r>
          </w:p>
        </w:tc>
        <w:tc>
          <w:tcPr>
            <w:tcW w:w="3438" w:type="dxa"/>
          </w:tcPr>
          <w:p w:rsidR="00240CEE" w:rsidRDefault="00240CEE" w:rsidP="00810F82">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2618</w:t>
            </w:r>
          </w:p>
        </w:tc>
      </w:tr>
      <w:tr w:rsidR="00240CEE" w:rsidTr="009F1D84">
        <w:trPr>
          <w:cnfStyle w:val="000000100000"/>
          <w:trHeight w:val="484"/>
        </w:trPr>
        <w:tc>
          <w:tcPr>
            <w:cnfStyle w:val="001000000000"/>
            <w:tcW w:w="3436" w:type="dxa"/>
          </w:tcPr>
          <w:p w:rsidR="00240CEE" w:rsidRDefault="00240CE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240CEE" w:rsidRDefault="00240CEE"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w:t>
            </w:r>
            <w:r w:rsidR="00731424">
              <w:rPr>
                <w:rFonts w:ascii="STXihei" w:hAnsi="STXihei" w:cs="STXihei" w:hint="eastAsia"/>
                <w:color w:val="000000"/>
                <w:kern w:val="0"/>
                <w:szCs w:val="21"/>
              </w:rPr>
              <w:t>350</w:t>
            </w:r>
          </w:p>
        </w:tc>
        <w:tc>
          <w:tcPr>
            <w:tcW w:w="3438" w:type="dxa"/>
          </w:tcPr>
          <w:p w:rsidR="00240CEE" w:rsidRDefault="00240CEE" w:rsidP="00810F82">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2435</w:t>
            </w:r>
          </w:p>
        </w:tc>
      </w:tr>
      <w:tr w:rsidR="00240CEE" w:rsidTr="009F1D84">
        <w:trPr>
          <w:cnfStyle w:val="000000010000"/>
          <w:trHeight w:val="469"/>
        </w:trPr>
        <w:tc>
          <w:tcPr>
            <w:cnfStyle w:val="001000000000"/>
            <w:tcW w:w="3436" w:type="dxa"/>
          </w:tcPr>
          <w:p w:rsidR="00240CEE" w:rsidRDefault="00240CE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240CEE" w:rsidRDefault="00240CEE" w:rsidP="00F81AB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w:t>
            </w:r>
            <w:r w:rsidR="00731424">
              <w:rPr>
                <w:rFonts w:ascii="STXihei" w:hAnsi="STXihei" w:cs="STXihei" w:hint="eastAsia"/>
                <w:color w:val="000000"/>
                <w:kern w:val="0"/>
                <w:szCs w:val="21"/>
              </w:rPr>
              <w:t>368</w:t>
            </w:r>
          </w:p>
        </w:tc>
        <w:tc>
          <w:tcPr>
            <w:tcW w:w="3438" w:type="dxa"/>
          </w:tcPr>
          <w:p w:rsidR="00240CEE" w:rsidRDefault="00240CEE" w:rsidP="00810F82">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2496</w:t>
            </w:r>
          </w:p>
        </w:tc>
      </w:tr>
      <w:tr w:rsidR="00240CEE" w:rsidTr="009F1D84">
        <w:trPr>
          <w:cnfStyle w:val="000000100000"/>
          <w:trHeight w:val="484"/>
        </w:trPr>
        <w:tc>
          <w:tcPr>
            <w:cnfStyle w:val="001000000000"/>
            <w:tcW w:w="3436" w:type="dxa"/>
          </w:tcPr>
          <w:p w:rsidR="00240CEE" w:rsidRDefault="00240CE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240CEE" w:rsidRDefault="00731424"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489.9</w:t>
            </w:r>
            <w:r w:rsidR="00240CEE">
              <w:rPr>
                <w:rFonts w:ascii="STXihei" w:hAnsi="STXihei" w:cs="STXihei" w:hint="eastAsia"/>
                <w:color w:val="000000"/>
                <w:kern w:val="0"/>
                <w:szCs w:val="21"/>
              </w:rPr>
              <w:t>万</w:t>
            </w:r>
          </w:p>
        </w:tc>
        <w:tc>
          <w:tcPr>
            <w:tcW w:w="3438" w:type="dxa"/>
          </w:tcPr>
          <w:p w:rsidR="00240CEE" w:rsidRDefault="00240CEE" w:rsidP="00810F82">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621.6</w:t>
            </w:r>
            <w:r>
              <w:rPr>
                <w:rFonts w:ascii="STXihei" w:hAnsi="STXihei" w:cs="STXihei" w:hint="eastAsia"/>
                <w:color w:val="000000"/>
                <w:kern w:val="0"/>
                <w:szCs w:val="21"/>
              </w:rPr>
              <w:t>万</w:t>
            </w:r>
          </w:p>
        </w:tc>
      </w:tr>
      <w:tr w:rsidR="00240CEE" w:rsidTr="009F1D84">
        <w:trPr>
          <w:cnfStyle w:val="000000010000"/>
          <w:trHeight w:val="484"/>
        </w:trPr>
        <w:tc>
          <w:tcPr>
            <w:cnfStyle w:val="001000000000"/>
            <w:tcW w:w="3436" w:type="dxa"/>
          </w:tcPr>
          <w:p w:rsidR="00240CEE" w:rsidRDefault="00240CE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240CEE" w:rsidRDefault="00731424" w:rsidP="009E6030">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53.7</w:t>
            </w:r>
            <w:r w:rsidR="00240CEE">
              <w:rPr>
                <w:rFonts w:ascii="STXihei" w:hAnsi="STXihei" w:cs="STXihei" w:hint="eastAsia"/>
                <w:color w:val="000000"/>
                <w:kern w:val="0"/>
                <w:szCs w:val="21"/>
              </w:rPr>
              <w:t>万</w:t>
            </w:r>
          </w:p>
        </w:tc>
        <w:tc>
          <w:tcPr>
            <w:tcW w:w="3438" w:type="dxa"/>
          </w:tcPr>
          <w:p w:rsidR="00240CEE" w:rsidRDefault="00240CEE" w:rsidP="00810F82">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69.3</w:t>
            </w:r>
            <w:r>
              <w:rPr>
                <w:rFonts w:ascii="STXihei" w:hAnsi="STXihei" w:cs="STXihei" w:hint="eastAsia"/>
                <w:color w:val="000000"/>
                <w:kern w:val="0"/>
                <w:szCs w:val="21"/>
              </w:rPr>
              <w:t>万</w:t>
            </w:r>
          </w:p>
        </w:tc>
      </w:tr>
    </w:tbl>
    <w:p w:rsidR="00217FA2" w:rsidRDefault="00964CCA" w:rsidP="00217FA2">
      <w:pPr>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8D7629" w:rsidRPr="00217FA2" w:rsidRDefault="006E65E3" w:rsidP="00217FA2">
      <w:pPr>
        <w:widowControl/>
        <w:jc w:val="left"/>
        <w:rPr>
          <w:rFonts w:ascii="宋体" w:hAnsi="宋体" w:cs="宋体"/>
          <w:kern w:val="0"/>
          <w:sz w:val="24"/>
        </w:rPr>
      </w:pPr>
      <w:r>
        <w:rPr>
          <w:rFonts w:ascii="宋体" w:hAnsi="宋体" w:cs="宋体"/>
          <w:noProof/>
          <w:kern w:val="0"/>
          <w:sz w:val="24"/>
        </w:rPr>
        <w:drawing>
          <wp:inline distT="0" distB="0" distL="0" distR="0">
            <wp:extent cx="6481094" cy="3226279"/>
            <wp:effectExtent l="19050" t="0" r="0" b="0"/>
            <wp:docPr id="15" name="图片 2" descr="C:\Users\Administrator\AppData\Roaming\Tencent\Users\276171027\QQ\WinTemp\RichOle\9$1%]`3}GQ7K6BDX63%JA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76171027\QQ\WinTemp\RichOle\9$1%]`3}GQ7K6BDX63%JA97.png"/>
                    <pic:cNvPicPr>
                      <a:picLocks noChangeAspect="1" noChangeArrowheads="1"/>
                    </pic:cNvPicPr>
                  </pic:nvPicPr>
                  <pic:blipFill>
                    <a:blip r:embed="rId8"/>
                    <a:srcRect/>
                    <a:stretch>
                      <a:fillRect/>
                    </a:stretch>
                  </pic:blipFill>
                  <pic:spPr bwMode="auto">
                    <a:xfrm>
                      <a:off x="0" y="0"/>
                      <a:ext cx="6481856" cy="3226658"/>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964CCA" w:rsidRDefault="00964CCA" w:rsidP="00964CCA">
      <w:pPr>
        <w:jc w:val="left"/>
        <w:rPr>
          <w:rFonts w:ascii="黑体" w:eastAsia="黑体" w:hAnsi="宋体"/>
          <w:bCs/>
          <w:color w:val="000000"/>
          <w:sz w:val="24"/>
        </w:rPr>
      </w:pPr>
      <w:r w:rsidRPr="00B52C0E">
        <w:rPr>
          <w:rFonts w:ascii="STXihei" w:hAnsi="STXihei" w:cs="STXihei" w:hint="eastAsia"/>
          <w:color w:val="000000"/>
          <w:kern w:val="0"/>
          <w:szCs w:val="21"/>
        </w:rPr>
        <w:t>Brent</w:t>
      </w:r>
      <w:r w:rsidRPr="00B52C0E">
        <w:rPr>
          <w:rFonts w:ascii="STXihei" w:hAnsi="STXihei" w:cs="STXihei" w:hint="eastAsia"/>
          <w:color w:val="000000"/>
          <w:kern w:val="0"/>
          <w:szCs w:val="21"/>
        </w:rPr>
        <w:t>原油</w:t>
      </w:r>
      <w:r>
        <w:rPr>
          <w:rFonts w:ascii="黑体" w:eastAsia="黑体" w:hAnsi="宋体" w:hint="eastAsia"/>
          <w:bCs/>
          <w:color w:val="000000"/>
          <w:sz w:val="24"/>
        </w:rPr>
        <w:t>：</w:t>
      </w:r>
    </w:p>
    <w:p w:rsidR="00964CCA" w:rsidRPr="00964CCA" w:rsidRDefault="00400F0A" w:rsidP="00964CCA">
      <w:pPr>
        <w:widowControl/>
        <w:jc w:val="left"/>
        <w:rPr>
          <w:rFonts w:ascii="宋体" w:hAnsi="宋体" w:cs="宋体"/>
          <w:kern w:val="0"/>
          <w:sz w:val="24"/>
        </w:rPr>
      </w:pPr>
      <w:r>
        <w:rPr>
          <w:rFonts w:ascii="宋体" w:hAnsi="宋体" w:cs="宋体"/>
          <w:noProof/>
          <w:kern w:val="0"/>
          <w:sz w:val="24"/>
        </w:rPr>
        <w:drawing>
          <wp:inline distT="0" distB="0" distL="0" distR="0">
            <wp:extent cx="6407629" cy="2708695"/>
            <wp:effectExtent l="19050" t="0" r="0" b="0"/>
            <wp:docPr id="16" name="图片 4" descr="C:\Users\Administrator\AppData\Roaming\Tencent\Users\276171027\QQ\WinTemp\RichOle\9N}1BI)EZ`1J~QL)8$CNU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76171027\QQ\WinTemp\RichOle\9N}1BI)EZ`1J~QL)8$CNUUD.png"/>
                    <pic:cNvPicPr>
                      <a:picLocks noChangeAspect="1" noChangeArrowheads="1"/>
                    </pic:cNvPicPr>
                  </pic:nvPicPr>
                  <pic:blipFill>
                    <a:blip r:embed="rId9"/>
                    <a:srcRect/>
                    <a:stretch>
                      <a:fillRect/>
                    </a:stretch>
                  </pic:blipFill>
                  <pic:spPr bwMode="auto">
                    <a:xfrm>
                      <a:off x="0" y="0"/>
                      <a:ext cx="6410538" cy="2709925"/>
                    </a:xfrm>
                    <a:prstGeom prst="rect">
                      <a:avLst/>
                    </a:prstGeom>
                    <a:noFill/>
                    <a:ln w="9525">
                      <a:noFill/>
                      <a:miter lim="800000"/>
                      <a:headEnd/>
                      <a:tailEnd/>
                    </a:ln>
                  </pic:spPr>
                </pic:pic>
              </a:graphicData>
            </a:graphic>
          </wp:inline>
        </w:drawing>
      </w:r>
    </w:p>
    <w:p w:rsidR="00964CCA" w:rsidRDefault="00B52C0E" w:rsidP="00B52C0E">
      <w:pPr>
        <w:jc w:val="right"/>
        <w:rPr>
          <w:rFonts w:ascii="STXihei" w:hAnsi="STXihei" w:cs="STXihei"/>
          <w:color w:val="000000"/>
          <w:kern w:val="0"/>
          <w:szCs w:val="21"/>
        </w:rPr>
      </w:pPr>
      <w:r w:rsidRPr="00B52C0E">
        <w:rPr>
          <w:rFonts w:ascii="STXihei" w:hAnsi="STXihei" w:cs="STXihei" w:hint="eastAsia"/>
          <w:color w:val="000000"/>
          <w:kern w:val="0"/>
          <w:szCs w:val="21"/>
        </w:rPr>
        <w:t>数据来源：文华财经，</w:t>
      </w:r>
      <w:r w:rsidR="005258BC">
        <w:rPr>
          <w:rFonts w:ascii="STXihei" w:hAnsi="STXihei" w:cs="STXihei" w:hint="eastAsia"/>
          <w:color w:val="000000"/>
          <w:kern w:val="0"/>
          <w:szCs w:val="21"/>
        </w:rPr>
        <w:t>通惠</w:t>
      </w:r>
      <w:r w:rsidRPr="00B52C0E">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B52C0E">
        <w:rPr>
          <w:rFonts w:ascii="STXihei" w:hAnsi="STXihei" w:cs="STXihei" w:hint="eastAsia"/>
          <w:color w:val="000000"/>
          <w:kern w:val="0"/>
          <w:szCs w:val="21"/>
        </w:rPr>
        <w:t>部</w:t>
      </w:r>
    </w:p>
    <w:p w:rsidR="00B52C0E" w:rsidRPr="00E26E25" w:rsidRDefault="00400F0A" w:rsidP="00E26E25">
      <w:pPr>
        <w:widowControl/>
        <w:spacing w:line="360" w:lineRule="auto"/>
        <w:ind w:firstLineChars="200" w:firstLine="420"/>
        <w:jc w:val="left"/>
        <w:rPr>
          <w:szCs w:val="21"/>
        </w:rPr>
      </w:pPr>
      <w:r>
        <w:rPr>
          <w:szCs w:val="21"/>
        </w:rPr>
        <w:t>本周原油整体以跌后反弹走势为主，且反弹力度较大，最高触及</w:t>
      </w:r>
      <w:r>
        <w:rPr>
          <w:szCs w:val="21"/>
        </w:rPr>
        <w:t>48.87</w:t>
      </w:r>
      <w:r>
        <w:rPr>
          <w:szCs w:val="21"/>
        </w:rPr>
        <w:t>美元</w:t>
      </w:r>
      <w:r>
        <w:rPr>
          <w:szCs w:val="21"/>
        </w:rPr>
        <w:t>/</w:t>
      </w:r>
      <w:r>
        <w:rPr>
          <w:szCs w:val="21"/>
        </w:rPr>
        <w:t>桶。虽然上周五油价因</w:t>
      </w:r>
      <w:r>
        <w:rPr>
          <w:szCs w:val="21"/>
        </w:rPr>
        <w:t>OPEC7</w:t>
      </w:r>
      <w:r>
        <w:rPr>
          <w:szCs w:val="21"/>
        </w:rPr>
        <w:t>月产量攀升而承压下滑，但俄罗斯会议结果超出市场预期，油价开启连涨模式。此外，</w:t>
      </w:r>
      <w:r>
        <w:rPr>
          <w:szCs w:val="21"/>
        </w:rPr>
        <w:t>EIA</w:t>
      </w:r>
      <w:r>
        <w:rPr>
          <w:szCs w:val="21"/>
        </w:rPr>
        <w:t>库存报告更是全面利好，不仅原油、汽油和精炼油库存全面下降，就连原油产量也出现下滑，油价蓄力实现三连涨。本周油市利好不断，特别是沙特为保油价而夸下海口和原油库存降幅较大促使市场情绪开始发生反转，多头情绪慢慢占据主导，而空头则纷纷回补</w:t>
      </w:r>
      <w:r w:rsidR="00535210">
        <w:rPr>
          <w:szCs w:val="21"/>
        </w:rPr>
        <w:t>。</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4A1559" w:rsidP="005258BC">
      <w:pPr>
        <w:widowControl/>
        <w:spacing w:line="360" w:lineRule="auto"/>
        <w:jc w:val="left"/>
        <w:rPr>
          <w:rFonts w:ascii="黑体" w:eastAsia="黑体" w:hAnsi="宋体"/>
          <w:bCs/>
          <w:color w:val="000000"/>
          <w:szCs w:val="21"/>
          <w:lang w:val="zh-CN"/>
        </w:rPr>
      </w:pPr>
      <w:r w:rsidRPr="004A1559">
        <w:rPr>
          <w:rFonts w:ascii="黑体" w:eastAsia="黑体" w:hAnsi="宋体"/>
          <w:bCs/>
          <w:noProof/>
          <w:color w:val="000000"/>
          <w:szCs w:val="21"/>
        </w:rPr>
        <w:drawing>
          <wp:inline distT="0" distB="0" distL="0" distR="0">
            <wp:extent cx="6649169" cy="2518913"/>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6647401" cy="2518243"/>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277541" w:rsidRPr="002D4AF6" w:rsidRDefault="002A5D1E"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lastRenderedPageBreak/>
        <w:t>本周</w:t>
      </w:r>
      <w:r w:rsidR="00DC5634">
        <w:rPr>
          <w:rFonts w:ascii="STXihei" w:hAnsi="STXihei" w:cs="STXihei" w:hint="eastAsia"/>
          <w:color w:val="000000"/>
          <w:kern w:val="0"/>
          <w:szCs w:val="21"/>
        </w:rPr>
        <w:t>动力煤</w:t>
      </w:r>
      <w:r w:rsidR="00213F4C">
        <w:rPr>
          <w:rFonts w:ascii="STXihei" w:hAnsi="STXihei" w:cs="STXihei" w:hint="eastAsia"/>
          <w:color w:val="000000"/>
          <w:kern w:val="0"/>
          <w:szCs w:val="21"/>
        </w:rPr>
        <w:t>延续反弹</w:t>
      </w:r>
      <w:r w:rsidR="009E1B42">
        <w:rPr>
          <w:rFonts w:ascii="STXihei" w:hAnsi="STXihei" w:cs="STXihei" w:hint="eastAsia"/>
          <w:color w:val="000000"/>
          <w:kern w:val="0"/>
          <w:szCs w:val="21"/>
        </w:rPr>
        <w:t>，</w:t>
      </w:r>
      <w:r w:rsidR="002403E6">
        <w:rPr>
          <w:rFonts w:ascii="STXihei" w:hAnsi="STXihei" w:cs="STXihei" w:hint="eastAsia"/>
          <w:color w:val="000000"/>
          <w:kern w:val="0"/>
          <w:szCs w:val="21"/>
        </w:rPr>
        <w:t>原料端</w:t>
      </w:r>
      <w:r w:rsidR="00277541">
        <w:rPr>
          <w:rFonts w:ascii="STXihei" w:hAnsi="STXihei" w:cs="STXihei" w:hint="eastAsia"/>
          <w:color w:val="000000"/>
          <w:kern w:val="0"/>
          <w:szCs w:val="21"/>
        </w:rPr>
        <w:t>对甲醇支撑力度</w:t>
      </w:r>
      <w:r w:rsidR="00A95223">
        <w:rPr>
          <w:rFonts w:ascii="STXihei" w:hAnsi="STXihei" w:cs="STXihei" w:hint="eastAsia"/>
          <w:color w:val="000000"/>
          <w:kern w:val="0"/>
          <w:szCs w:val="21"/>
        </w:rPr>
        <w:t>增强</w:t>
      </w:r>
      <w:r w:rsidR="005258BC">
        <w:rPr>
          <w:rFonts w:ascii="STXihei" w:hAnsi="STXihei" w:cs="STXihei" w:hint="eastAsia"/>
          <w:color w:val="000000"/>
          <w:kern w:val="0"/>
          <w:szCs w:val="21"/>
        </w:rPr>
        <w:t>。</w:t>
      </w: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4A1559" w:rsidP="00E8496D">
      <w:pPr>
        <w:widowControl/>
        <w:spacing w:line="360" w:lineRule="auto"/>
        <w:jc w:val="left"/>
        <w:rPr>
          <w:rFonts w:ascii="宋体" w:hAnsi="宋体" w:cs="Arial"/>
          <w:b/>
          <w:color w:val="0070C0"/>
          <w:kern w:val="0"/>
          <w:sz w:val="28"/>
          <w:szCs w:val="28"/>
        </w:rPr>
      </w:pPr>
      <w:r w:rsidRPr="004A1559">
        <w:rPr>
          <w:rFonts w:ascii="宋体" w:hAnsi="宋体" w:cs="Arial"/>
          <w:b/>
          <w:noProof/>
          <w:color w:val="0070C0"/>
          <w:kern w:val="0"/>
          <w:sz w:val="28"/>
          <w:szCs w:val="28"/>
        </w:rPr>
        <w:drawing>
          <wp:inline distT="0" distB="0" distL="0" distR="0">
            <wp:extent cx="6329992" cy="2766796"/>
            <wp:effectExtent l="19050" t="0" r="0" b="0"/>
            <wp:docPr id="4" name="图片 2"/>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6328309" cy="2766060"/>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213F4C" w:rsidRDefault="00286D2F" w:rsidP="00713078">
      <w:pPr>
        <w:autoSpaceDE w:val="0"/>
        <w:autoSpaceDN w:val="0"/>
        <w:adjustRightInd w:val="0"/>
        <w:spacing w:line="360" w:lineRule="auto"/>
        <w:ind w:firstLineChars="200" w:firstLine="420"/>
        <w:jc w:val="left"/>
        <w:rPr>
          <w:szCs w:val="21"/>
        </w:rPr>
      </w:pPr>
      <w:r>
        <w:rPr>
          <w:szCs w:val="21"/>
        </w:rPr>
        <w:t>延续上周末的弱势回跌，本周沿海甲醇市场加速下行。截至目前江苏市场累计下跌</w:t>
      </w:r>
      <w:r>
        <w:rPr>
          <w:rFonts w:ascii="Calibri" w:hAnsi="Calibri" w:cs="Calibri"/>
          <w:szCs w:val="21"/>
        </w:rPr>
        <w:t>155</w:t>
      </w:r>
      <w:r>
        <w:rPr>
          <w:szCs w:val="21"/>
        </w:rPr>
        <w:t>元</w:t>
      </w:r>
      <w:r>
        <w:rPr>
          <w:rFonts w:ascii="Calibri" w:hAnsi="Calibri" w:cs="Calibri"/>
          <w:szCs w:val="21"/>
        </w:rPr>
        <w:t>/</w:t>
      </w:r>
      <w:r>
        <w:rPr>
          <w:szCs w:val="21"/>
        </w:rPr>
        <w:t>吨。周初少数商家信心不足，获利回吐盘出现，但业者买涨不买跌且下游退避观望并不急于接货，故整体出货不尽人意。而随着周三期货快速回撤加剧市场空头力量，场内跌势加速，低价频繁刷新，虽然周后期惯性下跌预期仍存，但下游恐跌情绪凸显，仅有少数人士逢低适量补空交合约。场内近期利好消息缺失，业者心态偏于谨慎和脆弱。纸货方面，逢高沽空，逢低补空以及解套平仓操作为主，</w:t>
      </w:r>
      <w:r>
        <w:rPr>
          <w:rFonts w:ascii="Calibri" w:hAnsi="Calibri" w:cs="Calibri"/>
          <w:szCs w:val="21"/>
        </w:rPr>
        <w:t>7</w:t>
      </w:r>
      <w:r>
        <w:rPr>
          <w:szCs w:val="21"/>
        </w:rPr>
        <w:t>月份和</w:t>
      </w:r>
      <w:r>
        <w:rPr>
          <w:rFonts w:ascii="Calibri" w:hAnsi="Calibri" w:cs="Calibri"/>
          <w:szCs w:val="21"/>
        </w:rPr>
        <w:t>8</w:t>
      </w:r>
      <w:r>
        <w:rPr>
          <w:szCs w:val="21"/>
        </w:rPr>
        <w:t>月份成交放量尚可</w:t>
      </w:r>
      <w:r w:rsidR="004A1559">
        <w:rPr>
          <w:szCs w:val="21"/>
        </w:rPr>
        <w:t>。</w:t>
      </w:r>
    </w:p>
    <w:p w:rsidR="009E1B42" w:rsidRPr="00713078" w:rsidRDefault="00286D2F" w:rsidP="00713078">
      <w:pPr>
        <w:autoSpaceDE w:val="0"/>
        <w:autoSpaceDN w:val="0"/>
        <w:adjustRightInd w:val="0"/>
        <w:spacing w:line="360" w:lineRule="auto"/>
        <w:ind w:firstLineChars="200" w:firstLine="420"/>
        <w:jc w:val="left"/>
        <w:rPr>
          <w:szCs w:val="21"/>
        </w:rPr>
      </w:pPr>
      <w:r>
        <w:rPr>
          <w:szCs w:val="21"/>
        </w:rPr>
        <w:t>本周内地甲醇市场弱势整理。西北地区周内整体出货尚可，主力烯烃采购继续对区域起到一定支撑。关中地区涨跌互现，部分因库存压力较小而顺势提价，后少数承压下滑，周内整体出货一般。山东地区窄幅整理，中北部下游环保承压中，但由于周内西北货源到货较少，而窄幅上推，但整体放量依旧困难；南部弱势下滑，周内随期货逐渐下滑，加之传统下游环保承压需求不足，周内交投一般。河北地区弱势整理，淡季下游需求有限，商谈气氛弱，心态偏空。河南地区弱势下滑，周初主供前期合同，周后期新单出货受阻。</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286D2F" w:rsidTr="00443C09">
        <w:trPr>
          <w:cnfStyle w:val="000000100000"/>
        </w:trPr>
        <w:tc>
          <w:tcPr>
            <w:cnfStyle w:val="001000000000"/>
            <w:tcW w:w="3474" w:type="dxa"/>
          </w:tcPr>
          <w:p w:rsidR="00286D2F" w:rsidRDefault="00286D2F"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286D2F" w:rsidRDefault="00286D2F" w:rsidP="002403E6">
            <w:pPr>
              <w:widowControl/>
              <w:spacing w:line="360" w:lineRule="auto"/>
              <w:jc w:val="center"/>
              <w:cnfStyle w:val="000000100000"/>
              <w:rPr>
                <w:rFonts w:ascii="宋体" w:hAnsi="宋体" w:cs="Arial"/>
                <w:kern w:val="0"/>
                <w:szCs w:val="21"/>
              </w:rPr>
            </w:pPr>
            <w:r>
              <w:rPr>
                <w:rFonts w:ascii="宋体" w:hAnsi="宋体" w:cs="Arial" w:hint="eastAsia"/>
                <w:kern w:val="0"/>
                <w:szCs w:val="21"/>
              </w:rPr>
              <w:t>2365</w:t>
            </w:r>
          </w:p>
        </w:tc>
        <w:tc>
          <w:tcPr>
            <w:tcW w:w="3474" w:type="dxa"/>
          </w:tcPr>
          <w:p w:rsidR="00286D2F" w:rsidRDefault="00286D2F" w:rsidP="00136257">
            <w:pPr>
              <w:widowControl/>
              <w:spacing w:line="360" w:lineRule="auto"/>
              <w:jc w:val="center"/>
              <w:cnfStyle w:val="000000100000"/>
              <w:rPr>
                <w:rFonts w:ascii="宋体" w:hAnsi="宋体" w:cs="Arial"/>
                <w:kern w:val="0"/>
                <w:szCs w:val="21"/>
              </w:rPr>
            </w:pPr>
            <w:r>
              <w:rPr>
                <w:rFonts w:ascii="宋体" w:hAnsi="宋体" w:cs="Arial" w:hint="eastAsia"/>
                <w:kern w:val="0"/>
                <w:szCs w:val="21"/>
              </w:rPr>
              <w:t>24</w:t>
            </w:r>
            <w:r w:rsidR="00136257">
              <w:rPr>
                <w:rFonts w:ascii="宋体" w:hAnsi="宋体" w:cs="Arial" w:hint="eastAsia"/>
                <w:kern w:val="0"/>
                <w:szCs w:val="21"/>
              </w:rPr>
              <w:t>5</w:t>
            </w:r>
            <w:r>
              <w:rPr>
                <w:rFonts w:ascii="宋体" w:hAnsi="宋体" w:cs="Arial" w:hint="eastAsia"/>
                <w:kern w:val="0"/>
                <w:szCs w:val="21"/>
              </w:rPr>
              <w:t>5</w:t>
            </w:r>
          </w:p>
        </w:tc>
      </w:tr>
      <w:tr w:rsidR="00286D2F" w:rsidTr="00443C09">
        <w:trPr>
          <w:cnfStyle w:val="000000010000"/>
        </w:trPr>
        <w:tc>
          <w:tcPr>
            <w:cnfStyle w:val="001000000000"/>
            <w:tcW w:w="3474" w:type="dxa"/>
          </w:tcPr>
          <w:p w:rsidR="00286D2F" w:rsidRDefault="00286D2F"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286D2F" w:rsidRDefault="00286D2F" w:rsidP="00443C09">
            <w:pPr>
              <w:widowControl/>
              <w:spacing w:line="360" w:lineRule="auto"/>
              <w:jc w:val="center"/>
              <w:cnfStyle w:val="000000010000"/>
              <w:rPr>
                <w:rFonts w:ascii="宋体" w:hAnsi="宋体" w:cs="Arial"/>
                <w:kern w:val="0"/>
                <w:szCs w:val="21"/>
              </w:rPr>
            </w:pPr>
            <w:r>
              <w:rPr>
                <w:rFonts w:ascii="宋体" w:hAnsi="宋体" w:cs="Arial" w:hint="eastAsia"/>
                <w:kern w:val="0"/>
                <w:szCs w:val="21"/>
              </w:rPr>
              <w:t>2505</w:t>
            </w:r>
          </w:p>
        </w:tc>
        <w:tc>
          <w:tcPr>
            <w:tcW w:w="3474" w:type="dxa"/>
          </w:tcPr>
          <w:p w:rsidR="00286D2F" w:rsidRDefault="00136257" w:rsidP="00810F82">
            <w:pPr>
              <w:widowControl/>
              <w:spacing w:line="360" w:lineRule="auto"/>
              <w:jc w:val="center"/>
              <w:cnfStyle w:val="000000010000"/>
              <w:rPr>
                <w:rFonts w:ascii="宋体" w:hAnsi="宋体" w:cs="Arial"/>
                <w:kern w:val="0"/>
                <w:szCs w:val="21"/>
              </w:rPr>
            </w:pPr>
            <w:r>
              <w:rPr>
                <w:rFonts w:ascii="宋体" w:hAnsi="宋体" w:cs="Arial" w:hint="eastAsia"/>
                <w:kern w:val="0"/>
                <w:szCs w:val="21"/>
              </w:rPr>
              <w:t>251</w:t>
            </w:r>
            <w:r w:rsidR="00286D2F">
              <w:rPr>
                <w:rFonts w:ascii="宋体" w:hAnsi="宋体" w:cs="Arial" w:hint="eastAsia"/>
                <w:kern w:val="0"/>
                <w:szCs w:val="21"/>
              </w:rPr>
              <w:t>0</w:t>
            </w:r>
          </w:p>
        </w:tc>
      </w:tr>
      <w:tr w:rsidR="00286D2F" w:rsidTr="00443C09">
        <w:trPr>
          <w:cnfStyle w:val="000000100000"/>
        </w:trPr>
        <w:tc>
          <w:tcPr>
            <w:cnfStyle w:val="001000000000"/>
            <w:tcW w:w="3474" w:type="dxa"/>
          </w:tcPr>
          <w:p w:rsidR="00286D2F" w:rsidRDefault="00286D2F" w:rsidP="00443C09">
            <w:pPr>
              <w:widowControl/>
              <w:spacing w:line="360" w:lineRule="auto"/>
              <w:jc w:val="center"/>
              <w:rPr>
                <w:rFonts w:ascii="宋体" w:hAnsi="宋体" w:cs="Arial"/>
                <w:kern w:val="0"/>
                <w:szCs w:val="21"/>
              </w:rPr>
            </w:pPr>
            <w:r>
              <w:rPr>
                <w:rFonts w:ascii="宋体" w:hAnsi="宋体" w:cs="Arial" w:hint="eastAsia"/>
                <w:kern w:val="0"/>
                <w:szCs w:val="21"/>
              </w:rPr>
              <w:t>广东</w:t>
            </w:r>
          </w:p>
        </w:tc>
        <w:tc>
          <w:tcPr>
            <w:tcW w:w="3474" w:type="dxa"/>
          </w:tcPr>
          <w:p w:rsidR="00286D2F" w:rsidRDefault="00286D2F" w:rsidP="00507C0C">
            <w:pPr>
              <w:widowControl/>
              <w:spacing w:line="360" w:lineRule="auto"/>
              <w:jc w:val="center"/>
              <w:cnfStyle w:val="000000100000"/>
              <w:rPr>
                <w:rFonts w:ascii="宋体" w:hAnsi="宋体" w:cs="Arial"/>
                <w:kern w:val="0"/>
                <w:szCs w:val="21"/>
              </w:rPr>
            </w:pPr>
            <w:r>
              <w:rPr>
                <w:rFonts w:ascii="宋体" w:hAnsi="宋体" w:cs="Arial" w:hint="eastAsia"/>
                <w:kern w:val="0"/>
                <w:szCs w:val="21"/>
              </w:rPr>
              <w:t>2370</w:t>
            </w:r>
          </w:p>
        </w:tc>
        <w:tc>
          <w:tcPr>
            <w:tcW w:w="3474" w:type="dxa"/>
          </w:tcPr>
          <w:p w:rsidR="00286D2F" w:rsidRDefault="00136257" w:rsidP="00810F82">
            <w:pPr>
              <w:widowControl/>
              <w:spacing w:line="360" w:lineRule="auto"/>
              <w:jc w:val="center"/>
              <w:cnfStyle w:val="000000100000"/>
              <w:rPr>
                <w:rFonts w:ascii="宋体" w:hAnsi="宋体" w:cs="Arial"/>
                <w:kern w:val="0"/>
                <w:szCs w:val="21"/>
              </w:rPr>
            </w:pPr>
            <w:r>
              <w:rPr>
                <w:rFonts w:ascii="宋体" w:hAnsi="宋体" w:cs="Arial" w:hint="eastAsia"/>
                <w:kern w:val="0"/>
                <w:szCs w:val="21"/>
              </w:rPr>
              <w:t>245</w:t>
            </w:r>
            <w:r w:rsidR="00286D2F">
              <w:rPr>
                <w:rFonts w:ascii="宋体" w:hAnsi="宋体" w:cs="Arial" w:hint="eastAsia"/>
                <w:kern w:val="0"/>
                <w:szCs w:val="21"/>
              </w:rPr>
              <w:t>0</w:t>
            </w:r>
          </w:p>
        </w:tc>
      </w:tr>
      <w:tr w:rsidR="00286D2F" w:rsidTr="00443C09">
        <w:trPr>
          <w:cnfStyle w:val="000000010000"/>
        </w:trPr>
        <w:tc>
          <w:tcPr>
            <w:cnfStyle w:val="001000000000"/>
            <w:tcW w:w="3474" w:type="dxa"/>
          </w:tcPr>
          <w:p w:rsidR="00286D2F" w:rsidRDefault="00286D2F"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286D2F" w:rsidRDefault="00136257" w:rsidP="00507C0C">
            <w:pPr>
              <w:widowControl/>
              <w:spacing w:line="360" w:lineRule="auto"/>
              <w:jc w:val="center"/>
              <w:cnfStyle w:val="000000010000"/>
              <w:rPr>
                <w:rFonts w:ascii="宋体" w:hAnsi="宋体" w:cs="Arial"/>
                <w:kern w:val="0"/>
                <w:szCs w:val="21"/>
              </w:rPr>
            </w:pPr>
            <w:r>
              <w:rPr>
                <w:rFonts w:ascii="宋体" w:hAnsi="宋体" w:cs="Arial" w:hint="eastAsia"/>
                <w:kern w:val="0"/>
                <w:szCs w:val="21"/>
              </w:rPr>
              <w:t>2170</w:t>
            </w:r>
          </w:p>
        </w:tc>
        <w:tc>
          <w:tcPr>
            <w:tcW w:w="3474" w:type="dxa"/>
          </w:tcPr>
          <w:p w:rsidR="00286D2F" w:rsidRDefault="00136257" w:rsidP="00810F82">
            <w:pPr>
              <w:widowControl/>
              <w:spacing w:line="360" w:lineRule="auto"/>
              <w:jc w:val="center"/>
              <w:cnfStyle w:val="000000010000"/>
              <w:rPr>
                <w:rFonts w:ascii="宋体" w:hAnsi="宋体" w:cs="Arial"/>
                <w:kern w:val="0"/>
                <w:szCs w:val="21"/>
              </w:rPr>
            </w:pPr>
            <w:r>
              <w:rPr>
                <w:rFonts w:ascii="宋体" w:hAnsi="宋体" w:cs="Arial" w:hint="eastAsia"/>
                <w:kern w:val="0"/>
                <w:szCs w:val="21"/>
              </w:rPr>
              <w:t>227</w:t>
            </w:r>
            <w:r w:rsidR="00286D2F">
              <w:rPr>
                <w:rFonts w:ascii="宋体" w:hAnsi="宋体" w:cs="Arial" w:hint="eastAsia"/>
                <w:kern w:val="0"/>
                <w:szCs w:val="21"/>
              </w:rPr>
              <w:t>0</w:t>
            </w:r>
          </w:p>
        </w:tc>
      </w:tr>
      <w:tr w:rsidR="00037CAF" w:rsidTr="00443C09">
        <w:trPr>
          <w:cnfStyle w:val="000000100000"/>
        </w:trPr>
        <w:tc>
          <w:tcPr>
            <w:cnfStyle w:val="001000000000"/>
            <w:tcW w:w="3474" w:type="dxa"/>
          </w:tcPr>
          <w:p w:rsidR="00037CAF" w:rsidRDefault="00037CAF" w:rsidP="00443C09">
            <w:pPr>
              <w:widowControl/>
              <w:spacing w:line="360" w:lineRule="auto"/>
              <w:jc w:val="center"/>
              <w:rPr>
                <w:rFonts w:ascii="宋体" w:hAnsi="宋体" w:cs="Arial"/>
                <w:kern w:val="0"/>
                <w:szCs w:val="21"/>
              </w:rPr>
            </w:pPr>
            <w:r>
              <w:rPr>
                <w:rFonts w:ascii="宋体" w:hAnsi="宋体" w:cs="Arial" w:hint="eastAsia"/>
                <w:kern w:val="0"/>
                <w:szCs w:val="21"/>
              </w:rPr>
              <w:lastRenderedPageBreak/>
              <w:t>内蒙古</w:t>
            </w:r>
          </w:p>
        </w:tc>
        <w:tc>
          <w:tcPr>
            <w:tcW w:w="3474" w:type="dxa"/>
          </w:tcPr>
          <w:p w:rsidR="00037CAF" w:rsidRDefault="00037CAF" w:rsidP="00450246">
            <w:pPr>
              <w:widowControl/>
              <w:spacing w:line="360" w:lineRule="auto"/>
              <w:jc w:val="center"/>
              <w:cnfStyle w:val="000000100000"/>
              <w:rPr>
                <w:rFonts w:ascii="宋体" w:hAnsi="宋体" w:cs="Arial"/>
                <w:kern w:val="0"/>
                <w:szCs w:val="21"/>
              </w:rPr>
            </w:pPr>
            <w:r>
              <w:rPr>
                <w:rFonts w:ascii="宋体" w:hAnsi="宋体" w:cs="Arial" w:hint="eastAsia"/>
                <w:kern w:val="0"/>
                <w:szCs w:val="21"/>
              </w:rPr>
              <w:t>19</w:t>
            </w:r>
            <w:r w:rsidR="00136257">
              <w:rPr>
                <w:rFonts w:ascii="宋体" w:hAnsi="宋体" w:cs="Arial" w:hint="eastAsia"/>
                <w:kern w:val="0"/>
                <w:szCs w:val="21"/>
              </w:rPr>
              <w:t>50</w:t>
            </w:r>
          </w:p>
        </w:tc>
        <w:tc>
          <w:tcPr>
            <w:tcW w:w="3474" w:type="dxa"/>
          </w:tcPr>
          <w:p w:rsidR="00037CAF" w:rsidRDefault="00136257" w:rsidP="00A414BA">
            <w:pPr>
              <w:widowControl/>
              <w:spacing w:line="360" w:lineRule="auto"/>
              <w:jc w:val="center"/>
              <w:cnfStyle w:val="000000100000"/>
              <w:rPr>
                <w:rFonts w:ascii="宋体" w:hAnsi="宋体" w:cs="Arial"/>
                <w:kern w:val="0"/>
                <w:szCs w:val="21"/>
              </w:rPr>
            </w:pPr>
            <w:r>
              <w:rPr>
                <w:rFonts w:ascii="宋体" w:hAnsi="宋体" w:cs="Arial" w:hint="eastAsia"/>
                <w:kern w:val="0"/>
                <w:szCs w:val="21"/>
              </w:rPr>
              <w:t>195</w:t>
            </w:r>
            <w:r w:rsidR="00037CAF">
              <w:rPr>
                <w:rFonts w:ascii="宋体" w:hAnsi="宋体" w:cs="Arial" w:hint="eastAsia"/>
                <w:kern w:val="0"/>
                <w:szCs w:val="21"/>
              </w:rPr>
              <w:t>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t>区域价差：</w:t>
      </w:r>
    </w:p>
    <w:p w:rsidR="00682AB2" w:rsidRDefault="00D507CA" w:rsidP="00AE4798">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从区域价差以及基差情况来看，</w:t>
      </w:r>
      <w:r w:rsidR="00567BBE">
        <w:rPr>
          <w:rFonts w:ascii="宋体" w:hAnsi="宋体" w:cs="Arial" w:hint="eastAsia"/>
          <w:kern w:val="0"/>
          <w:szCs w:val="21"/>
        </w:rPr>
        <w:t>江苏山东价差已经到了</w:t>
      </w:r>
      <w:r w:rsidR="00213F4C">
        <w:rPr>
          <w:rFonts w:ascii="宋体" w:hAnsi="宋体" w:cs="Arial" w:hint="eastAsia"/>
          <w:kern w:val="0"/>
          <w:szCs w:val="21"/>
        </w:rPr>
        <w:t>2</w:t>
      </w:r>
      <w:r w:rsidR="00567BBE">
        <w:rPr>
          <w:rFonts w:ascii="宋体" w:hAnsi="宋体" w:cs="Arial" w:hint="eastAsia"/>
          <w:kern w:val="0"/>
          <w:szCs w:val="21"/>
        </w:rPr>
        <w:t>00元以上</w:t>
      </w:r>
      <w:r w:rsidR="000C2E69">
        <w:rPr>
          <w:rFonts w:ascii="宋体" w:hAnsi="宋体" w:cs="Arial" w:hint="eastAsia"/>
          <w:kern w:val="0"/>
          <w:szCs w:val="21"/>
        </w:rPr>
        <w:t>，</w:t>
      </w:r>
      <w:r w:rsidR="00C62DB2">
        <w:rPr>
          <w:rFonts w:ascii="宋体" w:hAnsi="宋体" w:cs="Arial" w:hint="eastAsia"/>
          <w:kern w:val="0"/>
          <w:szCs w:val="21"/>
        </w:rPr>
        <w:t>江苏内蒙价差也逐渐拉开，套利窗口打开，后期内地货源对港口可能产生冲击</w:t>
      </w:r>
      <w:r w:rsidR="00955AB4">
        <w:rPr>
          <w:rFonts w:ascii="宋体" w:hAnsi="宋体" w:cs="Arial" w:hint="eastAsia"/>
          <w:kern w:val="0"/>
          <w:szCs w:val="21"/>
        </w:rPr>
        <w:t>。从基差情况来看，</w:t>
      </w:r>
      <w:r w:rsidR="00213F4C">
        <w:rPr>
          <w:rFonts w:ascii="宋体" w:hAnsi="宋体" w:cs="Arial" w:hint="eastAsia"/>
          <w:kern w:val="0"/>
          <w:szCs w:val="21"/>
        </w:rPr>
        <w:t>近期基差走弱</w:t>
      </w:r>
      <w:r w:rsidR="00E92FE4">
        <w:rPr>
          <w:rFonts w:ascii="宋体" w:hAnsi="宋体" w:cs="Arial" w:hint="eastAsia"/>
          <w:kern w:val="0"/>
          <w:szCs w:val="21"/>
        </w:rPr>
        <w:t>，</w:t>
      </w:r>
      <w:r w:rsidR="00213F4C">
        <w:rPr>
          <w:rFonts w:ascii="宋体" w:hAnsi="宋体" w:cs="Arial" w:hint="eastAsia"/>
          <w:kern w:val="0"/>
          <w:szCs w:val="21"/>
        </w:rPr>
        <w:t>现货基本与期货平水</w:t>
      </w:r>
      <w:r w:rsidR="00B37C32">
        <w:rPr>
          <w:rFonts w:ascii="宋体" w:hAnsi="宋体" w:cs="Arial" w:hint="eastAsia"/>
          <w:kern w:val="0"/>
          <w:szCs w:val="21"/>
        </w:rPr>
        <w:t>。</w:t>
      </w:r>
    </w:p>
    <w:p w:rsidR="0029112E" w:rsidRDefault="00DF6638" w:rsidP="001D5409">
      <w:pPr>
        <w:widowControl/>
        <w:spacing w:line="360" w:lineRule="auto"/>
        <w:jc w:val="left"/>
        <w:rPr>
          <w:rFonts w:ascii="宋体" w:hAnsi="宋体" w:cs="Arial"/>
          <w:kern w:val="0"/>
          <w:szCs w:val="21"/>
        </w:rPr>
      </w:pPr>
      <w:r w:rsidRPr="00DF6638">
        <w:rPr>
          <w:rFonts w:ascii="宋体" w:hAnsi="宋体" w:cs="Arial"/>
          <w:noProof/>
          <w:kern w:val="0"/>
          <w:szCs w:val="21"/>
        </w:rPr>
        <w:drawing>
          <wp:inline distT="0" distB="0" distL="0" distR="0">
            <wp:extent cx="6140210" cy="2759174"/>
            <wp:effectExtent l="19050" t="0" r="0" b="0"/>
            <wp:docPr id="9" name="图片 3"/>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6138577" cy="2758440"/>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136257" w:rsidTr="00682AB2">
        <w:trPr>
          <w:cnfStyle w:val="000000100000"/>
        </w:trPr>
        <w:tc>
          <w:tcPr>
            <w:cnfStyle w:val="001000000000"/>
            <w:tcW w:w="3474" w:type="dxa"/>
          </w:tcPr>
          <w:p w:rsidR="00136257" w:rsidRDefault="00136257"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江苏</w:t>
            </w:r>
          </w:p>
        </w:tc>
        <w:tc>
          <w:tcPr>
            <w:tcW w:w="3474" w:type="dxa"/>
          </w:tcPr>
          <w:p w:rsidR="00136257" w:rsidRDefault="00136257" w:rsidP="002821C5">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44.1</w:t>
            </w:r>
          </w:p>
        </w:tc>
        <w:tc>
          <w:tcPr>
            <w:tcW w:w="3474" w:type="dxa"/>
          </w:tcPr>
          <w:p w:rsidR="00136257" w:rsidRDefault="00136257" w:rsidP="00810F82">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41</w:t>
            </w:r>
          </w:p>
        </w:tc>
      </w:tr>
      <w:tr w:rsidR="00136257" w:rsidTr="00682AB2">
        <w:trPr>
          <w:cnfStyle w:val="000000010000"/>
        </w:trPr>
        <w:tc>
          <w:tcPr>
            <w:cnfStyle w:val="001000000000"/>
            <w:tcW w:w="3474" w:type="dxa"/>
          </w:tcPr>
          <w:p w:rsidR="00136257" w:rsidRDefault="00136257"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136257" w:rsidRDefault="00136257" w:rsidP="00FF40A9">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6.3</w:t>
            </w:r>
          </w:p>
        </w:tc>
        <w:tc>
          <w:tcPr>
            <w:tcW w:w="3474" w:type="dxa"/>
          </w:tcPr>
          <w:p w:rsidR="00136257" w:rsidRDefault="00136257" w:rsidP="00810F82">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8.95</w:t>
            </w:r>
          </w:p>
        </w:tc>
      </w:tr>
      <w:tr w:rsidR="00136257" w:rsidTr="00682AB2">
        <w:trPr>
          <w:cnfStyle w:val="000000100000"/>
        </w:trPr>
        <w:tc>
          <w:tcPr>
            <w:cnfStyle w:val="001000000000"/>
            <w:tcW w:w="3474" w:type="dxa"/>
          </w:tcPr>
          <w:p w:rsidR="00136257" w:rsidRDefault="00136257"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136257" w:rsidRDefault="00136257" w:rsidP="00136257">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20.98</w:t>
            </w:r>
          </w:p>
        </w:tc>
        <w:tc>
          <w:tcPr>
            <w:tcW w:w="3474" w:type="dxa"/>
          </w:tcPr>
          <w:p w:rsidR="00136257" w:rsidRDefault="00136257" w:rsidP="00810F82">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22.83</w:t>
            </w:r>
          </w:p>
        </w:tc>
      </w:tr>
      <w:tr w:rsidR="00136257" w:rsidTr="00682AB2">
        <w:trPr>
          <w:cnfStyle w:val="000000010000"/>
        </w:trPr>
        <w:tc>
          <w:tcPr>
            <w:cnfStyle w:val="001000000000"/>
            <w:tcW w:w="3474" w:type="dxa"/>
          </w:tcPr>
          <w:p w:rsidR="00136257" w:rsidRDefault="00136257"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136257" w:rsidRDefault="00136257" w:rsidP="00136257">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71.38</w:t>
            </w:r>
          </w:p>
        </w:tc>
        <w:tc>
          <w:tcPr>
            <w:tcW w:w="3474" w:type="dxa"/>
          </w:tcPr>
          <w:p w:rsidR="00136257" w:rsidRDefault="00136257" w:rsidP="00810F82">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72.05</w:t>
            </w:r>
          </w:p>
        </w:tc>
      </w:tr>
    </w:tbl>
    <w:p w:rsidR="00443C09" w:rsidRDefault="00146FC0" w:rsidP="00E8496D">
      <w:pPr>
        <w:widowControl/>
        <w:spacing w:line="360" w:lineRule="auto"/>
        <w:jc w:val="left"/>
        <w:rPr>
          <w:rFonts w:ascii="宋体" w:hAnsi="宋体" w:cs="Arial"/>
          <w:kern w:val="0"/>
          <w:szCs w:val="21"/>
        </w:rPr>
      </w:pPr>
      <w:r w:rsidRPr="00146FC0">
        <w:rPr>
          <w:rFonts w:ascii="宋体" w:hAnsi="宋体" w:cs="Arial"/>
          <w:noProof/>
          <w:kern w:val="0"/>
          <w:szCs w:val="21"/>
        </w:rPr>
        <w:lastRenderedPageBreak/>
        <w:drawing>
          <wp:inline distT="0" distB="0" distL="0" distR="0">
            <wp:extent cx="6459388" cy="2424023"/>
            <wp:effectExtent l="19050" t="0" r="0" b="0"/>
            <wp:docPr id="3" name="图片 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6469110" cy="2427671"/>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57436B" w:rsidRPr="00713078" w:rsidRDefault="00136257" w:rsidP="00713078">
      <w:pPr>
        <w:autoSpaceDE w:val="0"/>
        <w:autoSpaceDN w:val="0"/>
        <w:adjustRightInd w:val="0"/>
        <w:spacing w:line="360" w:lineRule="auto"/>
        <w:ind w:firstLineChars="200" w:firstLine="420"/>
        <w:jc w:val="left"/>
        <w:rPr>
          <w:rFonts w:ascii="宋体" w:hAnsi="宋体" w:cs="Arial"/>
          <w:kern w:val="0"/>
          <w:szCs w:val="21"/>
        </w:rPr>
      </w:pPr>
      <w:r>
        <w:rPr>
          <w:rFonts w:hint="eastAsia"/>
          <w:szCs w:val="21"/>
        </w:rPr>
        <w:t>本周</w:t>
      </w:r>
      <w:r>
        <w:rPr>
          <w:szCs w:val="21"/>
        </w:rPr>
        <w:t>，江苏甲醇库存在</w:t>
      </w:r>
      <w:r>
        <w:rPr>
          <w:rFonts w:ascii="Calibri" w:hAnsi="Calibri" w:cs="Calibri"/>
          <w:szCs w:val="21"/>
        </w:rPr>
        <w:t>44.10</w:t>
      </w:r>
      <w:r>
        <w:rPr>
          <w:szCs w:val="21"/>
        </w:rPr>
        <w:t>万吨（不加连云港地区甲醇库存），较上周四增加</w:t>
      </w:r>
      <w:r>
        <w:rPr>
          <w:rFonts w:ascii="Calibri" w:hAnsi="Calibri" w:cs="Calibri"/>
          <w:szCs w:val="21"/>
        </w:rPr>
        <w:t>3.10</w:t>
      </w:r>
      <w:r>
        <w:rPr>
          <w:szCs w:val="21"/>
        </w:rPr>
        <w:t>万吨，涨幅在</w:t>
      </w:r>
      <w:r>
        <w:rPr>
          <w:rFonts w:ascii="Calibri" w:hAnsi="Calibri" w:cs="Calibri"/>
          <w:szCs w:val="21"/>
        </w:rPr>
        <w:t>7.56%</w:t>
      </w:r>
      <w:r>
        <w:rPr>
          <w:szCs w:val="21"/>
        </w:rPr>
        <w:t>。其中太仓地区库存继续走高至</w:t>
      </w:r>
      <w:r>
        <w:rPr>
          <w:rFonts w:ascii="Calibri" w:hAnsi="Calibri" w:cs="Calibri"/>
          <w:szCs w:val="21"/>
        </w:rPr>
        <w:t>13.80</w:t>
      </w:r>
      <w:r>
        <w:rPr>
          <w:szCs w:val="21"/>
        </w:rPr>
        <w:t>万吨，张家港地区库存大幅走高至</w:t>
      </w:r>
      <w:r>
        <w:rPr>
          <w:rFonts w:ascii="Calibri" w:hAnsi="Calibri" w:cs="Calibri"/>
          <w:szCs w:val="21"/>
        </w:rPr>
        <w:t>11</w:t>
      </w:r>
      <w:r>
        <w:rPr>
          <w:szCs w:val="21"/>
        </w:rPr>
        <w:t>万吨，江阴地区库存略有下降至</w:t>
      </w:r>
      <w:r>
        <w:rPr>
          <w:rFonts w:ascii="Calibri" w:hAnsi="Calibri" w:cs="Calibri"/>
          <w:szCs w:val="21"/>
        </w:rPr>
        <w:t>1</w:t>
      </w:r>
      <w:r>
        <w:rPr>
          <w:szCs w:val="21"/>
        </w:rPr>
        <w:t>万吨，常州地区库存大幅走高至</w:t>
      </w:r>
      <w:r>
        <w:rPr>
          <w:rFonts w:ascii="Calibri" w:hAnsi="Calibri" w:cs="Calibri"/>
          <w:szCs w:val="21"/>
        </w:rPr>
        <w:t>3.90</w:t>
      </w:r>
      <w:r>
        <w:rPr>
          <w:szCs w:val="21"/>
        </w:rPr>
        <w:t>万吨，南通地区库存缩减至</w:t>
      </w:r>
      <w:r>
        <w:rPr>
          <w:rFonts w:ascii="Calibri" w:hAnsi="Calibri" w:cs="Calibri"/>
          <w:szCs w:val="21"/>
        </w:rPr>
        <w:t>3.60</w:t>
      </w:r>
      <w:r>
        <w:rPr>
          <w:szCs w:val="21"/>
        </w:rPr>
        <w:t>万吨。虽然受到种种原因，内地发往华东区域车辆运输依然缓慢，周内仍有河南等地内地货源抵达常州等地区域，安徽和西南船货陆续发往南京等地区域，故常州、泰州等地库存积极上升。而下游方面，本周受到高温以及环保检查影响，苏北以及苏南多数甲醛和板厂选择停车或者降负避险，整体江苏甲醛开工率下降至</w:t>
      </w:r>
      <w:r>
        <w:rPr>
          <w:rFonts w:ascii="Calibri" w:hAnsi="Calibri" w:cs="Calibri"/>
          <w:szCs w:val="21"/>
        </w:rPr>
        <w:t>6-7</w:t>
      </w:r>
      <w:r>
        <w:rPr>
          <w:szCs w:val="21"/>
        </w:rPr>
        <w:t>成，较前期下降</w:t>
      </w:r>
      <w:r>
        <w:rPr>
          <w:rFonts w:ascii="Calibri" w:hAnsi="Calibri" w:cs="Calibri"/>
          <w:szCs w:val="21"/>
        </w:rPr>
        <w:t>2-3</w:t>
      </w:r>
      <w:r>
        <w:rPr>
          <w:szCs w:val="21"/>
        </w:rPr>
        <w:t>成，故日消耗量积极下降。其他下游产品开工相对维持固有水平。整体江苏库存化进程十分迟滞，本周太仓少数库区仍在往南京和浙江地区重要下游工厂发送货源。</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146FC0" w:rsidP="001D5409">
      <w:pPr>
        <w:widowControl/>
        <w:spacing w:line="360" w:lineRule="auto"/>
        <w:jc w:val="left"/>
        <w:rPr>
          <w:rFonts w:ascii="宋体" w:hAnsi="宋体" w:cs="Arial"/>
          <w:b/>
          <w:color w:val="0070C0"/>
          <w:kern w:val="0"/>
          <w:sz w:val="28"/>
          <w:szCs w:val="28"/>
        </w:rPr>
      </w:pPr>
      <w:r w:rsidRPr="00146FC0">
        <w:rPr>
          <w:rFonts w:ascii="宋体" w:hAnsi="宋体" w:cs="Arial"/>
          <w:b/>
          <w:noProof/>
          <w:color w:val="0070C0"/>
          <w:kern w:val="0"/>
          <w:sz w:val="28"/>
          <w:szCs w:val="28"/>
        </w:rPr>
        <w:drawing>
          <wp:inline distT="0" distB="0" distL="0" distR="0">
            <wp:extent cx="3146844" cy="1940943"/>
            <wp:effectExtent l="19050" t="0" r="0" b="0"/>
            <wp:docPr id="5" name="图片 2"/>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3146007" cy="1940427"/>
                    </a:xfrm>
                    <a:prstGeom prst="rect">
                      <a:avLst/>
                    </a:prstGeom>
                  </pic:spPr>
                </pic:pic>
              </a:graphicData>
            </a:graphic>
          </wp:inline>
        </w:drawing>
      </w:r>
      <w:r w:rsidR="00E26E25" w:rsidRPr="00E26E25">
        <w:rPr>
          <w:rFonts w:ascii="宋体" w:hAnsi="宋体" w:cs="Arial"/>
          <w:b/>
          <w:noProof/>
          <w:color w:val="0070C0"/>
          <w:kern w:val="0"/>
          <w:sz w:val="28"/>
          <w:szCs w:val="28"/>
        </w:rPr>
        <w:drawing>
          <wp:inline distT="0" distB="0" distL="0" distR="0">
            <wp:extent cx="3146845" cy="1966823"/>
            <wp:effectExtent l="19050" t="0" r="0" b="0"/>
            <wp:docPr id="20" name="图片 6"/>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5"/>
                    <a:stretch>
                      <a:fillRect/>
                    </a:stretch>
                  </pic:blipFill>
                  <pic:spPr>
                    <a:xfrm>
                      <a:off x="0" y="0"/>
                      <a:ext cx="3146007" cy="1966299"/>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136257" w:rsidP="002C37ED">
      <w:pPr>
        <w:widowControl/>
        <w:spacing w:line="360" w:lineRule="auto"/>
        <w:ind w:firstLineChars="200" w:firstLine="420"/>
        <w:jc w:val="left"/>
        <w:rPr>
          <w:rFonts w:ascii="宋体" w:hAnsi="宋体" w:cs="Arial"/>
          <w:kern w:val="0"/>
          <w:szCs w:val="21"/>
        </w:rPr>
      </w:pPr>
      <w:r>
        <w:rPr>
          <w:szCs w:val="21"/>
        </w:rPr>
        <w:lastRenderedPageBreak/>
        <w:t>本周，外盘甲醇弱势整理。放量稀疏。周初，主动报价不多，少数人士</w:t>
      </w:r>
      <w:r>
        <w:rPr>
          <w:szCs w:val="21"/>
        </w:rPr>
        <w:t>8</w:t>
      </w:r>
      <w:r>
        <w:rPr>
          <w:szCs w:val="21"/>
        </w:rPr>
        <w:t>月份到港的中东非伊朗船货报盘在</w:t>
      </w:r>
      <w:r>
        <w:rPr>
          <w:szCs w:val="21"/>
        </w:rPr>
        <w:t>290-292</w:t>
      </w:r>
      <w:r>
        <w:rPr>
          <w:szCs w:val="21"/>
        </w:rPr>
        <w:t>美元</w:t>
      </w:r>
      <w:r>
        <w:rPr>
          <w:szCs w:val="21"/>
        </w:rPr>
        <w:t>/</w:t>
      </w:r>
      <w:r>
        <w:rPr>
          <w:szCs w:val="21"/>
        </w:rPr>
        <w:t>吨，业者还盘在</w:t>
      </w:r>
      <w:r>
        <w:rPr>
          <w:szCs w:val="21"/>
        </w:rPr>
        <w:t>283-285</w:t>
      </w:r>
      <w:r>
        <w:rPr>
          <w:szCs w:val="21"/>
        </w:rPr>
        <w:t>美元</w:t>
      </w:r>
      <w:r>
        <w:rPr>
          <w:szCs w:val="21"/>
        </w:rPr>
        <w:t>/</w:t>
      </w:r>
      <w:r>
        <w:rPr>
          <w:szCs w:val="21"/>
        </w:rPr>
        <w:t>吨，随着周三期货快速下跌，主动报价和递盘均不多。业者谨慎看空，少数买家递盘在</w:t>
      </w:r>
      <w:r>
        <w:rPr>
          <w:szCs w:val="21"/>
        </w:rPr>
        <w:t>275-279</w:t>
      </w:r>
      <w:r>
        <w:rPr>
          <w:szCs w:val="21"/>
        </w:rPr>
        <w:t>美元</w:t>
      </w:r>
      <w:r>
        <w:rPr>
          <w:szCs w:val="21"/>
        </w:rPr>
        <w:t>/</w:t>
      </w:r>
      <w:r>
        <w:rPr>
          <w:szCs w:val="21"/>
        </w:rPr>
        <w:t>吨（</w:t>
      </w:r>
      <w:r>
        <w:rPr>
          <w:szCs w:val="21"/>
        </w:rPr>
        <w:t>8</w:t>
      </w:r>
      <w:r>
        <w:rPr>
          <w:szCs w:val="21"/>
        </w:rPr>
        <w:t>月份上中旬到港进口船货），而少数</w:t>
      </w:r>
      <w:r>
        <w:rPr>
          <w:szCs w:val="21"/>
        </w:rPr>
        <w:t>8</w:t>
      </w:r>
      <w:r>
        <w:rPr>
          <w:szCs w:val="21"/>
        </w:rPr>
        <w:t>月份到港的进口船货公式价报盘在</w:t>
      </w:r>
      <w:r>
        <w:rPr>
          <w:szCs w:val="21"/>
        </w:rPr>
        <w:t>+2.2%-2.5%</w:t>
      </w:r>
      <w:r>
        <w:rPr>
          <w:szCs w:val="21"/>
        </w:rPr>
        <w:t>，有货者谨慎观望为主，周内远月进口船货成交放量不易，听闻周内少数</w:t>
      </w:r>
      <w:r>
        <w:rPr>
          <w:szCs w:val="21"/>
        </w:rPr>
        <w:t>8</w:t>
      </w:r>
      <w:r>
        <w:rPr>
          <w:szCs w:val="21"/>
        </w:rPr>
        <w:t>月份到港伊朗船货成交在</w:t>
      </w:r>
      <w:r>
        <w:rPr>
          <w:szCs w:val="21"/>
        </w:rPr>
        <w:t>272</w:t>
      </w:r>
      <w:r>
        <w:rPr>
          <w:szCs w:val="21"/>
        </w:rPr>
        <w:t>美元</w:t>
      </w:r>
      <w:r>
        <w:rPr>
          <w:szCs w:val="21"/>
        </w:rPr>
        <w:t>/</w:t>
      </w:r>
      <w:r>
        <w:rPr>
          <w:szCs w:val="21"/>
        </w:rPr>
        <w:t>吨附近</w:t>
      </w:r>
      <w:r>
        <w:rPr>
          <w:rFonts w:hint="eastAsia"/>
          <w:szCs w:val="21"/>
        </w:rPr>
        <w:t>。</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136257" w:rsidTr="0029112E">
        <w:trPr>
          <w:cnfStyle w:val="000000100000"/>
        </w:trPr>
        <w:tc>
          <w:tcPr>
            <w:cnfStyle w:val="001000000000"/>
            <w:tcW w:w="3474" w:type="dxa"/>
          </w:tcPr>
          <w:p w:rsidR="00136257" w:rsidRDefault="00136257" w:rsidP="00682AB2">
            <w:pPr>
              <w:widowControl/>
              <w:spacing w:line="360" w:lineRule="auto"/>
              <w:jc w:val="center"/>
              <w:rPr>
                <w:rFonts w:ascii="宋体" w:hAnsi="宋体" w:cs="Arial"/>
                <w:kern w:val="0"/>
                <w:szCs w:val="21"/>
              </w:rPr>
            </w:pPr>
            <w:r>
              <w:rPr>
                <w:rFonts w:ascii="宋体" w:hAnsi="宋体" w:cs="Arial" w:hint="eastAsia"/>
                <w:kern w:val="0"/>
                <w:szCs w:val="21"/>
              </w:rPr>
              <w:t>CFR中国</w:t>
            </w:r>
          </w:p>
        </w:tc>
        <w:tc>
          <w:tcPr>
            <w:tcW w:w="3474" w:type="dxa"/>
          </w:tcPr>
          <w:p w:rsidR="00136257" w:rsidRDefault="00136257" w:rsidP="007A2F2F">
            <w:pPr>
              <w:widowControl/>
              <w:spacing w:line="360" w:lineRule="auto"/>
              <w:jc w:val="center"/>
              <w:cnfStyle w:val="000000100000"/>
              <w:rPr>
                <w:rFonts w:ascii="宋体" w:hAnsi="宋体" w:cs="Arial"/>
                <w:kern w:val="0"/>
                <w:szCs w:val="21"/>
              </w:rPr>
            </w:pPr>
            <w:r>
              <w:rPr>
                <w:rFonts w:ascii="宋体" w:hAnsi="宋体" w:cs="Arial" w:hint="eastAsia"/>
                <w:kern w:val="0"/>
                <w:szCs w:val="21"/>
              </w:rPr>
              <w:t>277</w:t>
            </w:r>
          </w:p>
        </w:tc>
        <w:tc>
          <w:tcPr>
            <w:tcW w:w="3474" w:type="dxa"/>
          </w:tcPr>
          <w:p w:rsidR="00136257" w:rsidRDefault="00136257" w:rsidP="00810F82">
            <w:pPr>
              <w:widowControl/>
              <w:spacing w:line="360" w:lineRule="auto"/>
              <w:jc w:val="center"/>
              <w:cnfStyle w:val="000000100000"/>
              <w:rPr>
                <w:rFonts w:ascii="宋体" w:hAnsi="宋体" w:cs="Arial"/>
                <w:kern w:val="0"/>
                <w:szCs w:val="21"/>
              </w:rPr>
            </w:pPr>
            <w:r>
              <w:rPr>
                <w:rFonts w:ascii="宋体" w:hAnsi="宋体" w:cs="Arial" w:hint="eastAsia"/>
                <w:kern w:val="0"/>
                <w:szCs w:val="21"/>
              </w:rPr>
              <w:t>281</w:t>
            </w:r>
          </w:p>
        </w:tc>
      </w:tr>
      <w:tr w:rsidR="00136257" w:rsidTr="0029112E">
        <w:trPr>
          <w:cnfStyle w:val="000000010000"/>
        </w:trPr>
        <w:tc>
          <w:tcPr>
            <w:cnfStyle w:val="001000000000"/>
            <w:tcW w:w="3474" w:type="dxa"/>
          </w:tcPr>
          <w:p w:rsidR="00136257" w:rsidRDefault="00136257"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136257" w:rsidRDefault="00136257" w:rsidP="007876E4">
            <w:pPr>
              <w:widowControl/>
              <w:spacing w:line="360" w:lineRule="auto"/>
              <w:jc w:val="center"/>
              <w:cnfStyle w:val="000000010000"/>
              <w:rPr>
                <w:rFonts w:ascii="宋体" w:hAnsi="宋体" w:cs="Arial"/>
                <w:kern w:val="0"/>
                <w:szCs w:val="21"/>
              </w:rPr>
            </w:pPr>
            <w:r>
              <w:rPr>
                <w:rFonts w:ascii="宋体" w:hAnsi="宋体" w:cs="Arial" w:hint="eastAsia"/>
                <w:kern w:val="0"/>
                <w:szCs w:val="21"/>
              </w:rPr>
              <w:t>281</w:t>
            </w:r>
          </w:p>
        </w:tc>
        <w:tc>
          <w:tcPr>
            <w:tcW w:w="3474" w:type="dxa"/>
          </w:tcPr>
          <w:p w:rsidR="00136257" w:rsidRDefault="00136257" w:rsidP="00810F82">
            <w:pPr>
              <w:widowControl/>
              <w:spacing w:line="360" w:lineRule="auto"/>
              <w:jc w:val="center"/>
              <w:cnfStyle w:val="000000010000"/>
              <w:rPr>
                <w:rFonts w:ascii="宋体" w:hAnsi="宋体" w:cs="Arial"/>
                <w:kern w:val="0"/>
                <w:szCs w:val="21"/>
              </w:rPr>
            </w:pPr>
            <w:r>
              <w:rPr>
                <w:rFonts w:ascii="宋体" w:hAnsi="宋体" w:cs="Arial" w:hint="eastAsia"/>
                <w:kern w:val="0"/>
                <w:szCs w:val="21"/>
              </w:rPr>
              <w:t>280</w:t>
            </w:r>
          </w:p>
        </w:tc>
      </w:tr>
      <w:tr w:rsidR="00136257" w:rsidTr="0029112E">
        <w:trPr>
          <w:cnfStyle w:val="000000100000"/>
        </w:trPr>
        <w:tc>
          <w:tcPr>
            <w:cnfStyle w:val="001000000000"/>
            <w:tcW w:w="3474" w:type="dxa"/>
          </w:tcPr>
          <w:p w:rsidR="00136257" w:rsidRDefault="00136257" w:rsidP="00682AB2">
            <w:pPr>
              <w:widowControl/>
              <w:spacing w:line="360" w:lineRule="auto"/>
              <w:jc w:val="center"/>
              <w:rPr>
                <w:rFonts w:ascii="宋体" w:hAnsi="宋体" w:cs="Arial"/>
                <w:kern w:val="0"/>
                <w:szCs w:val="21"/>
              </w:rPr>
            </w:pPr>
            <w:r>
              <w:rPr>
                <w:rFonts w:ascii="宋体" w:hAnsi="宋体" w:cs="Arial" w:hint="eastAsia"/>
                <w:kern w:val="0"/>
                <w:szCs w:val="21"/>
              </w:rPr>
              <w:t>FOB美国</w:t>
            </w:r>
          </w:p>
        </w:tc>
        <w:tc>
          <w:tcPr>
            <w:tcW w:w="3474" w:type="dxa"/>
          </w:tcPr>
          <w:p w:rsidR="00136257" w:rsidRDefault="00136257" w:rsidP="00426714">
            <w:pPr>
              <w:widowControl/>
              <w:spacing w:line="360" w:lineRule="auto"/>
              <w:jc w:val="center"/>
              <w:cnfStyle w:val="000000100000"/>
              <w:rPr>
                <w:rFonts w:ascii="宋体" w:hAnsi="宋体" w:cs="Arial"/>
                <w:kern w:val="0"/>
                <w:szCs w:val="21"/>
              </w:rPr>
            </w:pPr>
            <w:r>
              <w:rPr>
                <w:rFonts w:ascii="宋体" w:hAnsi="宋体" w:cs="Arial" w:hint="eastAsia"/>
                <w:kern w:val="0"/>
                <w:szCs w:val="21"/>
              </w:rPr>
              <w:t>294</w:t>
            </w:r>
          </w:p>
        </w:tc>
        <w:tc>
          <w:tcPr>
            <w:tcW w:w="3474" w:type="dxa"/>
          </w:tcPr>
          <w:p w:rsidR="00136257" w:rsidRDefault="00136257" w:rsidP="00810F82">
            <w:pPr>
              <w:widowControl/>
              <w:spacing w:line="360" w:lineRule="auto"/>
              <w:jc w:val="center"/>
              <w:cnfStyle w:val="000000100000"/>
              <w:rPr>
                <w:rFonts w:ascii="宋体" w:hAnsi="宋体" w:cs="Arial"/>
                <w:kern w:val="0"/>
                <w:szCs w:val="21"/>
              </w:rPr>
            </w:pPr>
            <w:r>
              <w:rPr>
                <w:rFonts w:ascii="宋体" w:hAnsi="宋体" w:cs="Arial" w:hint="eastAsia"/>
                <w:kern w:val="0"/>
                <w:szCs w:val="21"/>
              </w:rPr>
              <w:t>294</w:t>
            </w:r>
          </w:p>
        </w:tc>
      </w:tr>
      <w:tr w:rsidR="00136257" w:rsidTr="0029112E">
        <w:trPr>
          <w:cnfStyle w:val="000000010000"/>
        </w:trPr>
        <w:tc>
          <w:tcPr>
            <w:cnfStyle w:val="001000000000"/>
            <w:tcW w:w="3474" w:type="dxa"/>
          </w:tcPr>
          <w:p w:rsidR="00136257" w:rsidRDefault="00136257"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136257" w:rsidRDefault="00136257" w:rsidP="0033137B">
            <w:pPr>
              <w:widowControl/>
              <w:spacing w:line="360" w:lineRule="auto"/>
              <w:jc w:val="center"/>
              <w:cnfStyle w:val="000000010000"/>
              <w:rPr>
                <w:rFonts w:ascii="宋体" w:hAnsi="宋体" w:cs="Arial"/>
                <w:kern w:val="0"/>
                <w:szCs w:val="21"/>
              </w:rPr>
            </w:pPr>
            <w:r>
              <w:rPr>
                <w:rFonts w:ascii="宋体" w:hAnsi="宋体" w:cs="Arial" w:hint="eastAsia"/>
                <w:kern w:val="0"/>
                <w:szCs w:val="21"/>
              </w:rPr>
              <w:t>263</w:t>
            </w:r>
          </w:p>
        </w:tc>
        <w:tc>
          <w:tcPr>
            <w:tcW w:w="3474" w:type="dxa"/>
          </w:tcPr>
          <w:p w:rsidR="00136257" w:rsidRDefault="00136257" w:rsidP="00810F82">
            <w:pPr>
              <w:widowControl/>
              <w:spacing w:line="360" w:lineRule="auto"/>
              <w:jc w:val="center"/>
              <w:cnfStyle w:val="000000010000"/>
              <w:rPr>
                <w:rFonts w:ascii="宋体" w:hAnsi="宋体" w:cs="Arial"/>
                <w:kern w:val="0"/>
                <w:szCs w:val="21"/>
              </w:rPr>
            </w:pPr>
            <w:r>
              <w:rPr>
                <w:rFonts w:ascii="宋体" w:hAnsi="宋体" w:cs="Arial" w:hint="eastAsia"/>
                <w:kern w:val="0"/>
                <w:szCs w:val="21"/>
              </w:rPr>
              <w:t>260</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146FC0" w:rsidP="00685998">
      <w:pPr>
        <w:widowControl/>
        <w:spacing w:line="360" w:lineRule="auto"/>
        <w:jc w:val="left"/>
        <w:rPr>
          <w:rFonts w:ascii="宋体" w:hAnsi="宋体" w:cs="Arial"/>
          <w:kern w:val="0"/>
          <w:szCs w:val="21"/>
        </w:rPr>
      </w:pPr>
      <w:r w:rsidRPr="00146FC0">
        <w:rPr>
          <w:rFonts w:ascii="宋体" w:hAnsi="宋体" w:cs="Arial"/>
          <w:noProof/>
          <w:kern w:val="0"/>
          <w:szCs w:val="21"/>
        </w:rPr>
        <w:drawing>
          <wp:inline distT="0" distB="0" distL="0" distR="0">
            <wp:extent cx="6390376" cy="2759174"/>
            <wp:effectExtent l="19050" t="0" r="0" b="0"/>
            <wp:docPr id="6" name="图片 3"/>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6"/>
                    <a:stretch>
                      <a:fillRect/>
                    </a:stretch>
                  </pic:blipFill>
                  <pic:spPr>
                    <a:xfrm>
                      <a:off x="0" y="0"/>
                      <a:ext cx="6388677" cy="275844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306E41" w:rsidRDefault="006762CA" w:rsidP="00CB2E7C">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w:t>
      </w:r>
      <w:r w:rsidR="00C35375">
        <w:rPr>
          <w:rFonts w:ascii="宋体" w:hAnsi="宋体" w:cs="Arial" w:hint="eastAsia"/>
          <w:kern w:val="0"/>
          <w:szCs w:val="21"/>
        </w:rPr>
        <w:t>中美甲醇价差</w:t>
      </w:r>
      <w:r w:rsidR="0037643E">
        <w:rPr>
          <w:rFonts w:ascii="宋体" w:hAnsi="宋体" w:cs="Arial" w:hint="eastAsia"/>
          <w:kern w:val="0"/>
          <w:szCs w:val="21"/>
        </w:rPr>
        <w:t>在</w:t>
      </w:r>
      <w:r w:rsidR="0033137B">
        <w:rPr>
          <w:rFonts w:ascii="宋体" w:hAnsi="宋体" w:cs="Arial" w:hint="eastAsia"/>
          <w:kern w:val="0"/>
          <w:szCs w:val="21"/>
        </w:rPr>
        <w:t>继续</w:t>
      </w:r>
      <w:r w:rsidR="0037643E">
        <w:rPr>
          <w:rFonts w:ascii="宋体" w:hAnsi="宋体" w:cs="Arial" w:hint="eastAsia"/>
          <w:kern w:val="0"/>
          <w:szCs w:val="21"/>
        </w:rPr>
        <w:t>低位徘徊</w:t>
      </w:r>
      <w:r w:rsidR="0033137B">
        <w:rPr>
          <w:rFonts w:ascii="宋体" w:hAnsi="宋体" w:cs="Arial" w:hint="eastAsia"/>
          <w:kern w:val="0"/>
          <w:szCs w:val="21"/>
        </w:rPr>
        <w:t>，</w:t>
      </w:r>
      <w:r w:rsidR="00C35375">
        <w:rPr>
          <w:rFonts w:ascii="宋体" w:hAnsi="宋体" w:cs="Arial" w:hint="eastAsia"/>
          <w:kern w:val="0"/>
          <w:szCs w:val="21"/>
        </w:rPr>
        <w:t>套利窗口</w:t>
      </w:r>
      <w:r w:rsidR="00D3646A">
        <w:rPr>
          <w:rFonts w:ascii="宋体" w:hAnsi="宋体" w:cs="Arial" w:hint="eastAsia"/>
          <w:kern w:val="0"/>
          <w:szCs w:val="21"/>
        </w:rPr>
        <w:t>还未打开</w:t>
      </w:r>
      <w:r w:rsidR="00F95189">
        <w:rPr>
          <w:rFonts w:ascii="宋体" w:hAnsi="宋体" w:cs="Arial" w:hint="eastAsia"/>
          <w:kern w:val="0"/>
          <w:szCs w:val="21"/>
        </w:rPr>
        <w:t>。</w:t>
      </w:r>
    </w:p>
    <w:p w:rsidR="00BD0883" w:rsidRDefault="00306E41" w:rsidP="00306E4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BD0883" w:rsidRPr="00BD0883">
        <w:rPr>
          <w:rFonts w:ascii="宋体" w:hAnsi="宋体" w:cs="Arial" w:hint="eastAsia"/>
          <w:b/>
          <w:color w:val="0070C0"/>
          <w:kern w:val="0"/>
          <w:sz w:val="28"/>
          <w:szCs w:val="28"/>
        </w:rPr>
        <w:t>、</w:t>
      </w:r>
      <w:r>
        <w:rPr>
          <w:rFonts w:ascii="宋体" w:hAnsi="宋体" w:cs="Arial" w:hint="eastAsia"/>
          <w:b/>
          <w:color w:val="0070C0"/>
          <w:kern w:val="0"/>
          <w:sz w:val="28"/>
          <w:szCs w:val="28"/>
        </w:rPr>
        <w:t>开工率</w:t>
      </w:r>
    </w:p>
    <w:p w:rsidR="00306E41" w:rsidRPr="00BD0883" w:rsidRDefault="007D19C6" w:rsidP="00306E41">
      <w:pPr>
        <w:widowControl/>
        <w:spacing w:line="360" w:lineRule="auto"/>
        <w:jc w:val="left"/>
        <w:rPr>
          <w:rFonts w:ascii="宋体" w:hAnsi="宋体" w:cs="Arial"/>
          <w:b/>
          <w:color w:val="0070C0"/>
          <w:kern w:val="0"/>
          <w:sz w:val="28"/>
          <w:szCs w:val="28"/>
        </w:rPr>
      </w:pPr>
      <w:r w:rsidRPr="007D19C6">
        <w:rPr>
          <w:rFonts w:ascii="宋体" w:hAnsi="宋体" w:cs="Arial"/>
          <w:b/>
          <w:noProof/>
          <w:color w:val="0070C0"/>
          <w:kern w:val="0"/>
          <w:sz w:val="28"/>
          <w:szCs w:val="28"/>
        </w:rPr>
        <w:lastRenderedPageBreak/>
        <w:drawing>
          <wp:inline distT="0" distB="0" distL="0" distR="0">
            <wp:extent cx="6476641" cy="2553419"/>
            <wp:effectExtent l="19050" t="0" r="359" b="0"/>
            <wp:docPr id="7" name="图片 4"/>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7"/>
                    <a:stretch>
                      <a:fillRect/>
                    </a:stretch>
                  </pic:blipFill>
                  <pic:spPr>
                    <a:xfrm>
                      <a:off x="0" y="0"/>
                      <a:ext cx="6474434" cy="2552549"/>
                    </a:xfrm>
                    <a:prstGeom prst="rect">
                      <a:avLst/>
                    </a:prstGeom>
                  </pic:spPr>
                </pic:pic>
              </a:graphicData>
            </a:graphic>
          </wp:inline>
        </w:drawing>
      </w:r>
    </w:p>
    <w:p w:rsidR="00151A82" w:rsidRDefault="00BD0883" w:rsidP="00306E41">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sidR="004F5A53">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sidR="00306E41">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E4826" w:rsidRPr="00713078" w:rsidRDefault="00713078" w:rsidP="00713078">
      <w:pPr>
        <w:autoSpaceDE w:val="0"/>
        <w:autoSpaceDN w:val="0"/>
        <w:adjustRightInd w:val="0"/>
        <w:spacing w:line="360" w:lineRule="auto"/>
        <w:ind w:firstLineChars="200" w:firstLine="420"/>
        <w:jc w:val="left"/>
        <w:rPr>
          <w:szCs w:val="21"/>
        </w:rPr>
      </w:pPr>
      <w:r w:rsidRPr="00713078">
        <w:rPr>
          <w:rFonts w:hint="eastAsia"/>
          <w:szCs w:val="21"/>
        </w:rPr>
        <w:t>本周，</w:t>
      </w:r>
      <w:r w:rsidR="00136257">
        <w:rPr>
          <w:szCs w:val="21"/>
        </w:rPr>
        <w:t>国内甲醇整体装置开工负荷为</w:t>
      </w:r>
      <w:r w:rsidR="00136257">
        <w:rPr>
          <w:szCs w:val="21"/>
        </w:rPr>
        <w:t>66.46%</w:t>
      </w:r>
      <w:r w:rsidR="00136257">
        <w:rPr>
          <w:szCs w:val="21"/>
        </w:rPr>
        <w:t>，环比下跌</w:t>
      </w:r>
      <w:r w:rsidR="00136257">
        <w:rPr>
          <w:szCs w:val="21"/>
        </w:rPr>
        <w:t>2.77%</w:t>
      </w:r>
      <w:r w:rsidR="00136257">
        <w:rPr>
          <w:szCs w:val="21"/>
        </w:rPr>
        <w:t>；西北地区的开工</w:t>
      </w:r>
      <w:r w:rsidR="00136257">
        <w:rPr>
          <w:szCs w:val="21"/>
        </w:rPr>
        <w:t>73.22%</w:t>
      </w:r>
      <w:r w:rsidR="00136257">
        <w:rPr>
          <w:szCs w:val="21"/>
        </w:rPr>
        <w:t>，环比下跌</w:t>
      </w:r>
      <w:r w:rsidR="00136257">
        <w:rPr>
          <w:szCs w:val="21"/>
        </w:rPr>
        <w:t>2.67%</w:t>
      </w:r>
      <w:r w:rsidR="00136257">
        <w:rPr>
          <w:szCs w:val="21"/>
        </w:rPr>
        <w:t>。本周内西北地区虽然部分装置负荷提升，但由于部分煤制烯烃甲醇装置停车，导致总体西北地区开工率下滑，以及山东、山西地区部分甲醇装置临时停车，导致国内开工率总体下滑。</w:t>
      </w:r>
    </w:p>
    <w:p w:rsidR="004F5A53" w:rsidRDefault="007D19C6" w:rsidP="00AE4826">
      <w:pPr>
        <w:widowControl/>
        <w:spacing w:line="360" w:lineRule="auto"/>
        <w:jc w:val="left"/>
        <w:rPr>
          <w:rFonts w:ascii="宋体" w:hAnsi="宋体" w:cs="Arial"/>
          <w:kern w:val="0"/>
          <w:szCs w:val="21"/>
        </w:rPr>
      </w:pPr>
      <w:r w:rsidRPr="007D19C6">
        <w:rPr>
          <w:rFonts w:ascii="宋体" w:hAnsi="宋体" w:cs="Arial"/>
          <w:noProof/>
          <w:kern w:val="0"/>
          <w:szCs w:val="21"/>
        </w:rPr>
        <w:drawing>
          <wp:inline distT="0" distB="0" distL="0" distR="0">
            <wp:extent cx="6390376" cy="2527540"/>
            <wp:effectExtent l="19050" t="0" r="0" b="0"/>
            <wp:docPr id="8" name="图片 5"/>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a:stretch>
                      <a:fillRect/>
                    </a:stretch>
                  </pic:blipFill>
                  <pic:spPr>
                    <a:xfrm>
                      <a:off x="0" y="0"/>
                      <a:ext cx="6396191" cy="2529840"/>
                    </a:xfrm>
                    <a:prstGeom prst="rect">
                      <a:avLst/>
                    </a:prstGeom>
                  </pic:spPr>
                </pic:pic>
              </a:graphicData>
            </a:graphic>
          </wp:inline>
        </w:drawing>
      </w:r>
    </w:p>
    <w:p w:rsidR="004F5A53" w:rsidRDefault="004F5A53" w:rsidP="004F5A53">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F5A53" w:rsidRPr="00713078" w:rsidRDefault="00136257" w:rsidP="00713078">
      <w:pPr>
        <w:autoSpaceDE w:val="0"/>
        <w:autoSpaceDN w:val="0"/>
        <w:adjustRightInd w:val="0"/>
        <w:spacing w:line="360" w:lineRule="auto"/>
        <w:ind w:firstLineChars="200" w:firstLine="420"/>
        <w:jc w:val="left"/>
        <w:rPr>
          <w:szCs w:val="21"/>
        </w:rPr>
      </w:pPr>
      <w:r>
        <w:rPr>
          <w:rFonts w:hint="eastAsia"/>
          <w:szCs w:val="21"/>
        </w:rPr>
        <w:t>本周国内煤（甲醇）制烯烃装置平均开工率在</w:t>
      </w:r>
      <w:r>
        <w:rPr>
          <w:szCs w:val="21"/>
        </w:rPr>
        <w:t>79.05%</w:t>
      </w:r>
      <w:r>
        <w:rPr>
          <w:rFonts w:hint="eastAsia"/>
          <w:szCs w:val="21"/>
        </w:rPr>
        <w:t>，较上周下跌</w:t>
      </w:r>
      <w:r>
        <w:rPr>
          <w:szCs w:val="21"/>
        </w:rPr>
        <w:t>5</w:t>
      </w:r>
      <w:r>
        <w:rPr>
          <w:rFonts w:hint="eastAsia"/>
          <w:szCs w:val="21"/>
        </w:rPr>
        <w:t>个百分点。本周期内，受神华新疆停车、兴兴能源降负荷影响，国内</w:t>
      </w:r>
      <w:r>
        <w:rPr>
          <w:szCs w:val="21"/>
        </w:rPr>
        <w:t>CTO/MTO</w:t>
      </w:r>
      <w:r>
        <w:rPr>
          <w:rFonts w:hint="eastAsia"/>
          <w:szCs w:val="21"/>
        </w:rPr>
        <w:t>装置整体开工率下降，但中煤蒙大负荷提升至满负荷，其余装置运行基本稳定。继续关注环保、安监对甲醇及下游市场的影响</w:t>
      </w:r>
      <w:r w:rsidR="00713078" w:rsidRPr="00713078">
        <w:rPr>
          <w:rFonts w:hint="eastAsia"/>
          <w:szCs w:val="21"/>
        </w:rPr>
        <w:t>。</w:t>
      </w:r>
    </w:p>
    <w:tbl>
      <w:tblPr>
        <w:tblStyle w:val="1-11"/>
        <w:tblW w:w="0" w:type="auto"/>
        <w:tblLook w:val="04A0"/>
      </w:tblPr>
      <w:tblGrid>
        <w:gridCol w:w="1471"/>
        <w:gridCol w:w="1524"/>
        <w:gridCol w:w="1506"/>
        <w:gridCol w:w="1524"/>
        <w:gridCol w:w="1437"/>
        <w:gridCol w:w="1471"/>
        <w:gridCol w:w="1489"/>
      </w:tblGrid>
      <w:tr w:rsidR="008820E4" w:rsidTr="008820E4">
        <w:trPr>
          <w:cnfStyle w:val="100000000000"/>
          <w:trHeight w:val="514"/>
        </w:trPr>
        <w:tc>
          <w:tcPr>
            <w:cnfStyle w:val="001000000000"/>
            <w:tcW w:w="1471" w:type="dxa"/>
          </w:tcPr>
          <w:p w:rsidR="008820E4" w:rsidRDefault="008820E4" w:rsidP="004F5A53">
            <w:pPr>
              <w:widowControl/>
              <w:spacing w:line="360" w:lineRule="auto"/>
              <w:jc w:val="left"/>
              <w:rPr>
                <w:rFonts w:ascii="黑体" w:eastAsia="黑体" w:hAnsi="宋体"/>
                <w:bCs w:val="0"/>
                <w:color w:val="000000"/>
                <w:szCs w:val="21"/>
                <w:lang w:val="zh-CN"/>
              </w:rPr>
            </w:pPr>
          </w:p>
        </w:tc>
        <w:tc>
          <w:tcPr>
            <w:tcW w:w="1524"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甲醛</w:t>
            </w:r>
          </w:p>
        </w:tc>
        <w:tc>
          <w:tcPr>
            <w:tcW w:w="1506"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二甲醚</w:t>
            </w:r>
          </w:p>
        </w:tc>
        <w:tc>
          <w:tcPr>
            <w:tcW w:w="1524"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MTBE</w:t>
            </w:r>
          </w:p>
        </w:tc>
        <w:tc>
          <w:tcPr>
            <w:tcW w:w="1437"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醋酸</w:t>
            </w:r>
          </w:p>
        </w:tc>
        <w:tc>
          <w:tcPr>
            <w:tcW w:w="1471"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甲缩醛</w:t>
            </w:r>
          </w:p>
        </w:tc>
        <w:tc>
          <w:tcPr>
            <w:tcW w:w="1489"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DMF</w:t>
            </w:r>
          </w:p>
        </w:tc>
      </w:tr>
      <w:tr w:rsidR="00571D7A" w:rsidTr="008820E4">
        <w:trPr>
          <w:cnfStyle w:val="000000100000"/>
          <w:trHeight w:val="514"/>
        </w:trPr>
        <w:tc>
          <w:tcPr>
            <w:cnfStyle w:val="001000000000"/>
            <w:tcW w:w="1471" w:type="dxa"/>
          </w:tcPr>
          <w:p w:rsidR="00571D7A" w:rsidRDefault="00571D7A"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本周</w:t>
            </w:r>
          </w:p>
        </w:tc>
        <w:tc>
          <w:tcPr>
            <w:tcW w:w="1524" w:type="dxa"/>
          </w:tcPr>
          <w:p w:rsidR="00571D7A" w:rsidRDefault="00136257" w:rsidP="00571D7A">
            <w:pPr>
              <w:pStyle w:val="Default"/>
              <w:cnfStyle w:val="000000100000"/>
              <w:rPr>
                <w:sz w:val="21"/>
                <w:szCs w:val="21"/>
              </w:rPr>
            </w:pPr>
            <w:r>
              <w:rPr>
                <w:rFonts w:hint="eastAsia"/>
                <w:sz w:val="21"/>
                <w:szCs w:val="21"/>
              </w:rPr>
              <w:t>28.58</w:t>
            </w:r>
          </w:p>
        </w:tc>
        <w:tc>
          <w:tcPr>
            <w:tcW w:w="1506" w:type="dxa"/>
          </w:tcPr>
          <w:p w:rsidR="00571D7A" w:rsidRDefault="00136257" w:rsidP="00571D7A">
            <w:pPr>
              <w:pStyle w:val="Default"/>
              <w:cnfStyle w:val="000000100000"/>
              <w:rPr>
                <w:sz w:val="21"/>
                <w:szCs w:val="21"/>
              </w:rPr>
            </w:pPr>
            <w:r>
              <w:rPr>
                <w:rFonts w:hint="eastAsia"/>
                <w:sz w:val="21"/>
                <w:szCs w:val="21"/>
              </w:rPr>
              <w:t>21.83</w:t>
            </w:r>
          </w:p>
        </w:tc>
        <w:tc>
          <w:tcPr>
            <w:tcW w:w="1524" w:type="dxa"/>
          </w:tcPr>
          <w:p w:rsidR="00571D7A" w:rsidRDefault="00136257" w:rsidP="00571D7A">
            <w:pPr>
              <w:pStyle w:val="Default"/>
              <w:cnfStyle w:val="000000100000"/>
              <w:rPr>
                <w:sz w:val="21"/>
                <w:szCs w:val="21"/>
              </w:rPr>
            </w:pPr>
            <w:r>
              <w:rPr>
                <w:rFonts w:hint="eastAsia"/>
                <w:sz w:val="21"/>
                <w:szCs w:val="21"/>
              </w:rPr>
              <w:t>57.97</w:t>
            </w:r>
          </w:p>
        </w:tc>
        <w:tc>
          <w:tcPr>
            <w:tcW w:w="1437" w:type="dxa"/>
          </w:tcPr>
          <w:p w:rsidR="00571D7A" w:rsidRDefault="00136257" w:rsidP="00571D7A">
            <w:pPr>
              <w:pStyle w:val="Default"/>
              <w:cnfStyle w:val="000000100000"/>
              <w:rPr>
                <w:sz w:val="21"/>
                <w:szCs w:val="21"/>
              </w:rPr>
            </w:pPr>
            <w:r>
              <w:rPr>
                <w:rFonts w:hint="eastAsia"/>
                <w:sz w:val="21"/>
                <w:szCs w:val="21"/>
              </w:rPr>
              <w:t>68.34</w:t>
            </w:r>
          </w:p>
        </w:tc>
        <w:tc>
          <w:tcPr>
            <w:tcW w:w="1471" w:type="dxa"/>
          </w:tcPr>
          <w:p w:rsidR="00571D7A" w:rsidRDefault="00136257" w:rsidP="00571D7A">
            <w:pPr>
              <w:pStyle w:val="Default"/>
              <w:cnfStyle w:val="000000100000"/>
              <w:rPr>
                <w:sz w:val="21"/>
                <w:szCs w:val="21"/>
              </w:rPr>
            </w:pPr>
            <w:r>
              <w:rPr>
                <w:rFonts w:hint="eastAsia"/>
                <w:sz w:val="21"/>
                <w:szCs w:val="21"/>
              </w:rPr>
              <w:t>8.09</w:t>
            </w:r>
          </w:p>
        </w:tc>
        <w:tc>
          <w:tcPr>
            <w:tcW w:w="1489" w:type="dxa"/>
          </w:tcPr>
          <w:p w:rsidR="00571D7A" w:rsidRDefault="00136257" w:rsidP="00571D7A">
            <w:pPr>
              <w:pStyle w:val="Default"/>
              <w:cnfStyle w:val="000000100000"/>
              <w:rPr>
                <w:sz w:val="21"/>
                <w:szCs w:val="21"/>
              </w:rPr>
            </w:pPr>
            <w:r>
              <w:rPr>
                <w:rFonts w:hint="eastAsia"/>
                <w:sz w:val="21"/>
                <w:szCs w:val="21"/>
              </w:rPr>
              <w:t>41.03</w:t>
            </w:r>
          </w:p>
        </w:tc>
      </w:tr>
      <w:tr w:rsidR="00136257" w:rsidTr="008820E4">
        <w:trPr>
          <w:cnfStyle w:val="000000010000"/>
          <w:trHeight w:val="514"/>
        </w:trPr>
        <w:tc>
          <w:tcPr>
            <w:cnfStyle w:val="001000000000"/>
            <w:tcW w:w="1471" w:type="dxa"/>
          </w:tcPr>
          <w:p w:rsidR="00136257" w:rsidRDefault="00136257"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lastRenderedPageBreak/>
              <w:t>上周</w:t>
            </w:r>
          </w:p>
        </w:tc>
        <w:tc>
          <w:tcPr>
            <w:tcW w:w="1524" w:type="dxa"/>
          </w:tcPr>
          <w:p w:rsidR="00136257" w:rsidRDefault="00136257" w:rsidP="00810F82">
            <w:pPr>
              <w:pStyle w:val="Default"/>
              <w:cnfStyle w:val="000000010000"/>
              <w:rPr>
                <w:sz w:val="21"/>
                <w:szCs w:val="21"/>
              </w:rPr>
            </w:pPr>
            <w:r>
              <w:rPr>
                <w:rFonts w:hint="eastAsia"/>
                <w:sz w:val="21"/>
                <w:szCs w:val="21"/>
              </w:rPr>
              <w:t>29.89</w:t>
            </w:r>
          </w:p>
        </w:tc>
        <w:tc>
          <w:tcPr>
            <w:tcW w:w="1506" w:type="dxa"/>
          </w:tcPr>
          <w:p w:rsidR="00136257" w:rsidRDefault="00136257" w:rsidP="00810F82">
            <w:pPr>
              <w:pStyle w:val="Default"/>
              <w:cnfStyle w:val="000000010000"/>
              <w:rPr>
                <w:sz w:val="21"/>
                <w:szCs w:val="21"/>
              </w:rPr>
            </w:pPr>
            <w:r>
              <w:rPr>
                <w:rFonts w:hint="eastAsia"/>
                <w:sz w:val="21"/>
                <w:szCs w:val="21"/>
              </w:rPr>
              <w:t>20.24</w:t>
            </w:r>
          </w:p>
        </w:tc>
        <w:tc>
          <w:tcPr>
            <w:tcW w:w="1524" w:type="dxa"/>
          </w:tcPr>
          <w:p w:rsidR="00136257" w:rsidRDefault="00136257" w:rsidP="00810F82">
            <w:pPr>
              <w:pStyle w:val="Default"/>
              <w:cnfStyle w:val="000000010000"/>
              <w:rPr>
                <w:sz w:val="21"/>
                <w:szCs w:val="21"/>
              </w:rPr>
            </w:pPr>
            <w:r>
              <w:rPr>
                <w:rFonts w:hint="eastAsia"/>
                <w:sz w:val="21"/>
                <w:szCs w:val="21"/>
              </w:rPr>
              <w:t>55.76</w:t>
            </w:r>
          </w:p>
        </w:tc>
        <w:tc>
          <w:tcPr>
            <w:tcW w:w="1437" w:type="dxa"/>
          </w:tcPr>
          <w:p w:rsidR="00136257" w:rsidRDefault="00136257" w:rsidP="00810F82">
            <w:pPr>
              <w:pStyle w:val="Default"/>
              <w:cnfStyle w:val="000000010000"/>
              <w:rPr>
                <w:sz w:val="21"/>
                <w:szCs w:val="21"/>
              </w:rPr>
            </w:pPr>
            <w:r>
              <w:rPr>
                <w:rFonts w:hint="eastAsia"/>
                <w:sz w:val="21"/>
                <w:szCs w:val="21"/>
              </w:rPr>
              <w:t>72.17</w:t>
            </w:r>
          </w:p>
        </w:tc>
        <w:tc>
          <w:tcPr>
            <w:tcW w:w="1471" w:type="dxa"/>
          </w:tcPr>
          <w:p w:rsidR="00136257" w:rsidRDefault="00136257" w:rsidP="00810F82">
            <w:pPr>
              <w:pStyle w:val="Default"/>
              <w:cnfStyle w:val="000000010000"/>
              <w:rPr>
                <w:sz w:val="21"/>
                <w:szCs w:val="21"/>
              </w:rPr>
            </w:pPr>
            <w:r>
              <w:rPr>
                <w:rFonts w:hint="eastAsia"/>
                <w:sz w:val="21"/>
                <w:szCs w:val="21"/>
              </w:rPr>
              <w:t>8.71</w:t>
            </w:r>
          </w:p>
        </w:tc>
        <w:tc>
          <w:tcPr>
            <w:tcW w:w="1489" w:type="dxa"/>
          </w:tcPr>
          <w:p w:rsidR="00136257" w:rsidRDefault="00136257" w:rsidP="00810F82">
            <w:pPr>
              <w:pStyle w:val="Default"/>
              <w:cnfStyle w:val="000000010000"/>
              <w:rPr>
                <w:sz w:val="21"/>
                <w:szCs w:val="21"/>
              </w:rPr>
            </w:pPr>
            <w:r>
              <w:rPr>
                <w:rFonts w:hint="eastAsia"/>
                <w:sz w:val="21"/>
                <w:szCs w:val="21"/>
              </w:rPr>
              <w:t>35.6</w:t>
            </w:r>
          </w:p>
        </w:tc>
      </w:tr>
    </w:tbl>
    <w:p w:rsidR="004F5A53" w:rsidRPr="004F5A53" w:rsidRDefault="008820E4" w:rsidP="00C350B2">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E865B6" w:rsidRPr="00AE4826" w:rsidRDefault="00AE4826" w:rsidP="00AE4826">
      <w:pPr>
        <w:widowControl/>
        <w:spacing w:line="360" w:lineRule="auto"/>
        <w:jc w:val="left"/>
        <w:rPr>
          <w:rFonts w:ascii="宋体" w:hAnsi="宋体" w:cs="Arial"/>
          <w:kern w:val="0"/>
          <w:szCs w:val="21"/>
        </w:rPr>
      </w:pPr>
      <w:r>
        <w:rPr>
          <w:rFonts w:ascii="宋体" w:hAnsi="宋体" w:cs="Arial" w:hint="eastAsia"/>
          <w:b/>
          <w:color w:val="0070C0"/>
          <w:kern w:val="0"/>
          <w:sz w:val="28"/>
          <w:szCs w:val="28"/>
        </w:rPr>
        <w:t>七</w:t>
      </w:r>
      <w:r w:rsidR="00151A82" w:rsidRPr="00BD0883">
        <w:rPr>
          <w:rFonts w:ascii="宋体" w:hAnsi="宋体" w:cs="Arial" w:hint="eastAsia"/>
          <w:b/>
          <w:color w:val="0070C0"/>
          <w:kern w:val="0"/>
          <w:sz w:val="28"/>
          <w:szCs w:val="28"/>
        </w:rPr>
        <w:t>、</w:t>
      </w:r>
      <w:r>
        <w:rPr>
          <w:rFonts w:ascii="宋体" w:hAnsi="宋体" w:cs="Arial" w:hint="eastAsia"/>
          <w:b/>
          <w:color w:val="0070C0"/>
          <w:kern w:val="0"/>
          <w:sz w:val="28"/>
          <w:szCs w:val="28"/>
        </w:rPr>
        <w:t>下游价格变化情况</w:t>
      </w:r>
    </w:p>
    <w:p w:rsidR="00E865B6" w:rsidRDefault="00BE3DB3" w:rsidP="00AE4826">
      <w:pPr>
        <w:widowControl/>
        <w:spacing w:line="360" w:lineRule="auto"/>
        <w:jc w:val="left"/>
        <w:rPr>
          <w:rFonts w:ascii="宋体" w:hAnsi="宋体" w:cs="Arial"/>
          <w:b/>
          <w:color w:val="0070C0"/>
          <w:kern w:val="0"/>
          <w:sz w:val="28"/>
          <w:szCs w:val="28"/>
        </w:rPr>
      </w:pPr>
      <w:r w:rsidRPr="00BE3DB3">
        <w:rPr>
          <w:rFonts w:ascii="宋体" w:hAnsi="宋体" w:cs="Arial"/>
          <w:b/>
          <w:noProof/>
          <w:color w:val="0070C0"/>
          <w:kern w:val="0"/>
          <w:sz w:val="28"/>
          <w:szCs w:val="28"/>
        </w:rPr>
        <w:drawing>
          <wp:inline distT="0" distB="0" distL="0" distR="0">
            <wp:extent cx="6329992" cy="2303253"/>
            <wp:effectExtent l="19050" t="0" r="0" b="0"/>
            <wp:docPr id="10" name="图片 6"/>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9"/>
                    <a:stretch>
                      <a:fillRect/>
                    </a:stretch>
                  </pic:blipFill>
                  <pic:spPr>
                    <a:xfrm>
                      <a:off x="0" y="0"/>
                      <a:ext cx="6328309" cy="2302641"/>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136257" w:rsidRDefault="00136257" w:rsidP="00713078">
      <w:pPr>
        <w:autoSpaceDE w:val="0"/>
        <w:autoSpaceDN w:val="0"/>
        <w:adjustRightInd w:val="0"/>
        <w:spacing w:line="360" w:lineRule="auto"/>
        <w:ind w:firstLineChars="200" w:firstLine="420"/>
        <w:jc w:val="left"/>
        <w:rPr>
          <w:rFonts w:hint="eastAsia"/>
          <w:szCs w:val="21"/>
        </w:rPr>
      </w:pPr>
      <w:r w:rsidRPr="00136257">
        <w:rPr>
          <w:rFonts w:hint="eastAsia"/>
          <w:szCs w:val="21"/>
        </w:rPr>
        <w:t>本周，国内二甲醚市场震荡整理，商谈重心略有走低。上周五至周末，受市场供应增加影响，主流河南、河北南部等市场报盘松动。周中，相关品液化气市场交投向好，推涨明显，带动下游对二甲醚市场采购热情，供方排货压力不大；虽原料甲醇价格局部走软，但仍相对高位，行业盈利能力欠佳，支撑供方坚守报盘。截止到本周四，二甲醚均价在</w:t>
      </w:r>
      <w:r w:rsidRPr="00136257">
        <w:rPr>
          <w:rFonts w:hint="eastAsia"/>
          <w:szCs w:val="21"/>
        </w:rPr>
        <w:t>3275.92</w:t>
      </w:r>
      <w:r w:rsidRPr="00136257">
        <w:rPr>
          <w:rFonts w:hint="eastAsia"/>
          <w:szCs w:val="21"/>
        </w:rPr>
        <w:t>元</w:t>
      </w:r>
      <w:r w:rsidRPr="00136257">
        <w:rPr>
          <w:rFonts w:hint="eastAsia"/>
          <w:szCs w:val="21"/>
        </w:rPr>
        <w:t>/</w:t>
      </w:r>
      <w:r w:rsidRPr="00136257">
        <w:rPr>
          <w:rFonts w:hint="eastAsia"/>
          <w:szCs w:val="21"/>
        </w:rPr>
        <w:t>吨，较之上周环比下跌</w:t>
      </w:r>
      <w:r w:rsidRPr="00136257">
        <w:rPr>
          <w:rFonts w:hint="eastAsia"/>
          <w:szCs w:val="21"/>
        </w:rPr>
        <w:t>0.62%</w:t>
      </w:r>
      <w:r>
        <w:rPr>
          <w:rFonts w:hint="eastAsia"/>
          <w:szCs w:val="21"/>
        </w:rPr>
        <w:t>。</w:t>
      </w:r>
    </w:p>
    <w:p w:rsidR="008820E4" w:rsidRPr="00713078" w:rsidRDefault="00136257" w:rsidP="00713078">
      <w:pPr>
        <w:autoSpaceDE w:val="0"/>
        <w:autoSpaceDN w:val="0"/>
        <w:adjustRightInd w:val="0"/>
        <w:spacing w:line="360" w:lineRule="auto"/>
        <w:ind w:firstLineChars="200" w:firstLine="420"/>
        <w:jc w:val="left"/>
        <w:rPr>
          <w:szCs w:val="21"/>
        </w:rPr>
      </w:pPr>
      <w:r>
        <w:rPr>
          <w:szCs w:val="21"/>
        </w:rPr>
        <w:t>本周国内甲醛市场走势消极。山东地区甲醛市场均价为</w:t>
      </w:r>
      <w:r>
        <w:rPr>
          <w:rFonts w:ascii="Calibri" w:hAnsi="Calibri" w:cs="Calibri"/>
          <w:szCs w:val="21"/>
        </w:rPr>
        <w:t>1070</w:t>
      </w:r>
      <w:r>
        <w:rPr>
          <w:szCs w:val="21"/>
        </w:rPr>
        <w:t>元</w:t>
      </w:r>
      <w:r>
        <w:rPr>
          <w:rFonts w:ascii="Calibri" w:hAnsi="Calibri" w:cs="Calibri"/>
          <w:szCs w:val="21"/>
        </w:rPr>
        <w:t>/</w:t>
      </w:r>
      <w:r>
        <w:rPr>
          <w:szCs w:val="21"/>
        </w:rPr>
        <w:t>吨，环比下跌</w:t>
      </w:r>
      <w:r>
        <w:rPr>
          <w:rFonts w:ascii="Calibri" w:hAnsi="Calibri" w:cs="Calibri"/>
          <w:szCs w:val="21"/>
        </w:rPr>
        <w:t>0.74%</w:t>
      </w:r>
      <w:r>
        <w:rPr>
          <w:szCs w:val="21"/>
        </w:rPr>
        <w:t>；河北地区甲醛市场均价为</w:t>
      </w:r>
      <w:r>
        <w:rPr>
          <w:rFonts w:ascii="Calibri" w:hAnsi="Calibri" w:cs="Calibri"/>
          <w:szCs w:val="21"/>
        </w:rPr>
        <w:t>1096</w:t>
      </w:r>
      <w:r>
        <w:rPr>
          <w:szCs w:val="21"/>
        </w:rPr>
        <w:t>元</w:t>
      </w:r>
      <w:r>
        <w:rPr>
          <w:rFonts w:ascii="Calibri" w:hAnsi="Calibri" w:cs="Calibri"/>
          <w:szCs w:val="21"/>
        </w:rPr>
        <w:t>/</w:t>
      </w:r>
      <w:r>
        <w:rPr>
          <w:szCs w:val="21"/>
        </w:rPr>
        <w:t>吨，环比下滑</w:t>
      </w:r>
      <w:r>
        <w:rPr>
          <w:rFonts w:ascii="Calibri" w:hAnsi="Calibri" w:cs="Calibri"/>
          <w:szCs w:val="21"/>
        </w:rPr>
        <w:t>0.36%</w:t>
      </w:r>
      <w:r>
        <w:rPr>
          <w:szCs w:val="21"/>
        </w:rPr>
        <w:t>。本周各地甲醛市场上下游支撑不多，表现整体偏弱：河北地区延续冷清状态；山东临沂地区受安全检查影响，数家甲醛企业停工减产，板厂开工延续消极，交投放缓；华东、华中、东南等地延续高温，下游开工继续下滑，甲醛产销量有限；华南市场刚需支撑一般，成交维持淡稳。周后期，甲醇期货大跌，多地原料市场跟跌，进一步拖累甲醛市场气氛</w:t>
      </w:r>
      <w:r w:rsidR="00713078" w:rsidRPr="00713078">
        <w:rPr>
          <w:rFonts w:hint="eastAsia"/>
          <w:szCs w:val="21"/>
        </w:rPr>
        <w:t>。</w:t>
      </w:r>
    </w:p>
    <w:p w:rsidR="00015D10" w:rsidRPr="00713078" w:rsidRDefault="00136257" w:rsidP="00713078">
      <w:pPr>
        <w:autoSpaceDE w:val="0"/>
        <w:autoSpaceDN w:val="0"/>
        <w:adjustRightInd w:val="0"/>
        <w:spacing w:line="360" w:lineRule="auto"/>
        <w:ind w:firstLineChars="200" w:firstLine="420"/>
        <w:jc w:val="left"/>
        <w:rPr>
          <w:szCs w:val="21"/>
        </w:rPr>
      </w:pPr>
      <w:r>
        <w:rPr>
          <w:szCs w:val="21"/>
        </w:rPr>
        <w:t>本周，国内冰醋酸市场涨势继续。华东冰醋酸市场收盘在</w:t>
      </w:r>
      <w:r>
        <w:rPr>
          <w:szCs w:val="21"/>
        </w:rPr>
        <w:t>2860-3060</w:t>
      </w:r>
      <w:r>
        <w:rPr>
          <w:szCs w:val="21"/>
        </w:rPr>
        <w:t>元</w:t>
      </w:r>
      <w:r>
        <w:rPr>
          <w:szCs w:val="21"/>
        </w:rPr>
        <w:t>/</w:t>
      </w:r>
      <w:r>
        <w:rPr>
          <w:szCs w:val="21"/>
        </w:rPr>
        <w:t>吨，华东周均价</w:t>
      </w:r>
      <w:r>
        <w:rPr>
          <w:szCs w:val="21"/>
        </w:rPr>
        <w:t>2930</w:t>
      </w:r>
      <w:r>
        <w:rPr>
          <w:szCs w:val="21"/>
        </w:rPr>
        <w:t>元</w:t>
      </w:r>
      <w:r>
        <w:rPr>
          <w:szCs w:val="21"/>
        </w:rPr>
        <w:t>/</w:t>
      </w:r>
      <w:r>
        <w:rPr>
          <w:szCs w:val="21"/>
        </w:rPr>
        <w:t>吨，环比上涨</w:t>
      </w:r>
      <w:r>
        <w:rPr>
          <w:szCs w:val="21"/>
        </w:rPr>
        <w:t>5.78%</w:t>
      </w:r>
      <w:r>
        <w:rPr>
          <w:szCs w:val="21"/>
        </w:rPr>
        <w:t>，同比上涨</w:t>
      </w:r>
      <w:r>
        <w:rPr>
          <w:szCs w:val="21"/>
        </w:rPr>
        <w:t>40.50%</w:t>
      </w:r>
      <w:r>
        <w:rPr>
          <w:szCs w:val="21"/>
        </w:rPr>
        <w:t>。供应面来看，河南永城龙宇与河南英都气化装置周内停车，上海华谊装置仍故障中，冰醋酸开工率偏低，加之各主要工厂库存紧张，市场现货供应量极为有限，持货商捂货惜售，报盘一路抬升。需求面看，醋酸丁酯、醋酸乙烯、氯乙酸等开工率下降，对冰醋酸需求有所减弱，冰醋酸市场整体交投节奏略显滞缓。虽冰醋酸市场供求两淡，但低社会库存水平支撑下，周内冰醋酸市场仍是一路上行</w:t>
      </w:r>
      <w:r w:rsidR="00713078" w:rsidRPr="00713078">
        <w:rPr>
          <w:rFonts w:hint="eastAsia"/>
          <w:szCs w:val="21"/>
        </w:rPr>
        <w:t>。</w:t>
      </w:r>
    </w:p>
    <w:p w:rsidR="00036EC3" w:rsidRDefault="00AE4826" w:rsidP="00AE4826">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E865B6">
        <w:rPr>
          <w:rFonts w:ascii="宋体" w:hAnsi="宋体" w:cs="Arial" w:hint="eastAsia"/>
          <w:b/>
          <w:color w:val="0070C0"/>
          <w:kern w:val="0"/>
          <w:sz w:val="28"/>
          <w:szCs w:val="28"/>
        </w:rPr>
        <w:t>、</w:t>
      </w:r>
      <w:r>
        <w:rPr>
          <w:rFonts w:ascii="宋体" w:hAnsi="宋体" w:cs="Arial" w:hint="eastAsia"/>
          <w:b/>
          <w:color w:val="0070C0"/>
          <w:kern w:val="0"/>
          <w:sz w:val="28"/>
          <w:szCs w:val="28"/>
        </w:rPr>
        <w:t>产业链利润情况</w:t>
      </w:r>
    </w:p>
    <w:p w:rsidR="008820E4" w:rsidRPr="00F00B5E" w:rsidRDefault="00BE3DB3" w:rsidP="00F00B5E">
      <w:pPr>
        <w:widowControl/>
        <w:jc w:val="left"/>
        <w:rPr>
          <w:rFonts w:ascii="宋体" w:hAnsi="宋体" w:cs="宋体"/>
          <w:color w:val="000000"/>
          <w:kern w:val="0"/>
          <w:sz w:val="22"/>
          <w:szCs w:val="22"/>
        </w:rPr>
      </w:pPr>
      <w:r w:rsidRPr="00BE3DB3">
        <w:rPr>
          <w:rFonts w:ascii="宋体" w:hAnsi="宋体" w:cs="宋体"/>
          <w:noProof/>
          <w:color w:val="000000"/>
          <w:kern w:val="0"/>
          <w:sz w:val="22"/>
          <w:szCs w:val="22"/>
        </w:rPr>
        <w:lastRenderedPageBreak/>
        <w:drawing>
          <wp:inline distT="0" distB="0" distL="0" distR="0">
            <wp:extent cx="6148837" cy="2766796"/>
            <wp:effectExtent l="19050" t="0" r="4313" b="0"/>
            <wp:docPr id="11" name="图片 7"/>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0"/>
                    <a:stretch>
                      <a:fillRect/>
                    </a:stretch>
                  </pic:blipFill>
                  <pic:spPr>
                    <a:xfrm>
                      <a:off x="0" y="0"/>
                      <a:ext cx="6147202" cy="2766060"/>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7D1331" w:rsidRPr="007A2F2F" w:rsidRDefault="007D1331" w:rsidP="00180149">
      <w:pPr>
        <w:widowControl/>
        <w:spacing w:line="360" w:lineRule="auto"/>
        <w:ind w:firstLineChars="200" w:firstLine="420"/>
        <w:jc w:val="left"/>
        <w:rPr>
          <w:rFonts w:ascii="宋体" w:hAnsi="宋体" w:cs="Arial"/>
          <w:kern w:val="0"/>
          <w:szCs w:val="21"/>
        </w:rPr>
      </w:pPr>
      <w:r w:rsidRPr="007A2F2F">
        <w:rPr>
          <w:rFonts w:ascii="宋体" w:hAnsi="宋体" w:cs="Arial" w:hint="eastAsia"/>
          <w:kern w:val="0"/>
          <w:szCs w:val="21"/>
        </w:rPr>
        <w:t>从产业链的利润情况来看，</w:t>
      </w:r>
      <w:r w:rsidR="009A34B0">
        <w:rPr>
          <w:rFonts w:ascii="宋体" w:hAnsi="宋体" w:cs="Arial" w:hint="eastAsia"/>
          <w:kern w:val="0"/>
          <w:szCs w:val="21"/>
        </w:rPr>
        <w:t>随着甲醇以及下游产品价格不断下移，产业链利润重新分配。甲醇端利润逐渐向下游转移，MTO利润已经大幅好转</w:t>
      </w:r>
      <w:r w:rsidR="00015D10">
        <w:rPr>
          <w:rFonts w:ascii="宋体" w:hAnsi="宋体" w:cs="Arial" w:hint="eastAsia"/>
          <w:kern w:val="0"/>
          <w:szCs w:val="21"/>
        </w:rPr>
        <w:t>，但近期又有所恶化</w:t>
      </w:r>
      <w:r w:rsidR="009A34B0">
        <w:rPr>
          <w:rFonts w:ascii="宋体" w:hAnsi="宋体" w:cs="Arial" w:hint="eastAsia"/>
          <w:kern w:val="0"/>
          <w:szCs w:val="21"/>
        </w:rPr>
        <w:t>。传统下游利润恢复，也在平衡点之上。</w:t>
      </w:r>
    </w:p>
    <w:p w:rsidR="007D1331" w:rsidRDefault="007D1331"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九、总结</w:t>
      </w:r>
    </w:p>
    <w:p w:rsidR="00015D10" w:rsidRPr="00713078" w:rsidRDefault="00136257" w:rsidP="00713078">
      <w:pPr>
        <w:autoSpaceDE w:val="0"/>
        <w:autoSpaceDN w:val="0"/>
        <w:adjustRightInd w:val="0"/>
        <w:spacing w:line="360" w:lineRule="auto"/>
        <w:ind w:firstLineChars="200" w:firstLine="420"/>
        <w:jc w:val="left"/>
        <w:rPr>
          <w:rFonts w:ascii="瀹嬩綋" w:eastAsia="瀹嬩綋" w:cs="瀹嬩綋"/>
          <w:kern w:val="0"/>
          <w:szCs w:val="21"/>
        </w:rPr>
      </w:pPr>
      <w:r>
        <w:rPr>
          <w:szCs w:val="21"/>
        </w:rPr>
        <w:t>，从供需面来看，主产区甲醇供应平稳，部分烯烃厂甲醇继续外采，货源仍以出货为主。但传统多数下游跟进缓慢，内地部分区域环保影响，采购和成交缩量。神华新疆停车，预计下周主产区仍以出货为主，价格稳中仍有窄幅走软压力。而流入内地货源仍有增多趋势，而部分下游受环保影响接货积极性偏淡，商谈稳中略存窄跌压力，继续关注明水装置动态和下游接货跟进力度。短时沿海甲醇市场空头占据上风，可流通货源有限以及需求支撑力量仍显单薄，故库存消耗极为缓慢。仅仅一周时间就把</w:t>
      </w:r>
      <w:r>
        <w:rPr>
          <w:rFonts w:ascii="Calibri" w:hAnsi="Calibri" w:cs="Calibri"/>
          <w:szCs w:val="21"/>
        </w:rPr>
        <w:t>7</w:t>
      </w:r>
      <w:r>
        <w:rPr>
          <w:szCs w:val="21"/>
        </w:rPr>
        <w:t>月上中旬半月的涨幅</w:t>
      </w:r>
      <w:r>
        <w:rPr>
          <w:szCs w:val="21"/>
        </w:rPr>
        <w:t>“</w:t>
      </w:r>
      <w:r>
        <w:rPr>
          <w:szCs w:val="21"/>
        </w:rPr>
        <w:t>付之一炬</w:t>
      </w:r>
      <w:r>
        <w:rPr>
          <w:szCs w:val="21"/>
        </w:rPr>
        <w:t>”</w:t>
      </w:r>
      <w:r>
        <w:rPr>
          <w:szCs w:val="21"/>
        </w:rPr>
        <w:t>，可见业者心态极为脆弱和敏感，预计下周沿海甲醇市场惯性下滑为主基调。</w:t>
      </w:r>
    </w:p>
    <w:p w:rsidR="00015D10" w:rsidRPr="00350FC1" w:rsidRDefault="00015D10" w:rsidP="00350FC1">
      <w:pPr>
        <w:widowControl/>
        <w:spacing w:line="360" w:lineRule="auto"/>
        <w:ind w:firstLineChars="200" w:firstLine="420"/>
        <w:jc w:val="left"/>
        <w:rPr>
          <w:rFonts w:ascii="宋体" w:hAnsi="宋体" w:cs="Arial"/>
          <w:kern w:val="0"/>
          <w:szCs w:val="21"/>
        </w:rPr>
      </w:pPr>
    </w:p>
    <w:p w:rsidR="00FA285B" w:rsidRPr="00CA0DFC" w:rsidRDefault="0031783B" w:rsidP="00015D10">
      <w:pPr>
        <w:pBdr>
          <w:top w:val="single" w:sz="4" w:space="0"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21"/>
      <w:footerReference w:type="default" r:id="rId22"/>
      <w:headerReference w:type="first" r:id="rId23"/>
      <w:footerReference w:type="first" r:id="rId24"/>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A55" w:rsidRDefault="00393A55">
      <w:r>
        <w:separator/>
      </w:r>
    </w:p>
  </w:endnote>
  <w:endnote w:type="continuationSeparator" w:id="1">
    <w:p w:rsidR="00393A55" w:rsidRDefault="00393A5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宋体P.衐侷.."/>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瀹嬩綋">
    <w:altName w:val="方正兰亭超细黑简体"/>
    <w:panose1 w:val="00000000000000000000"/>
    <w:charset w:val="86"/>
    <w:family w:val="auto"/>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Default="006F7955">
    <w:pPr>
      <w:pStyle w:val="ab"/>
      <w:jc w:val="center"/>
    </w:pPr>
    <w:fldSimple w:instr=" PAGE   \* MERGEFORMAT ">
      <w:r w:rsidR="00136257" w:rsidRPr="00136257">
        <w:rPr>
          <w:noProof/>
          <w:lang w:val="zh-CN"/>
        </w:rPr>
        <w:t>2</w:t>
      </w:r>
    </w:fldSimple>
  </w:p>
  <w:p w:rsidR="009A34B0" w:rsidRPr="0078113A" w:rsidRDefault="009A34B0"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C32A93" w:rsidRDefault="006F7955"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9A34B0" w:rsidRPr="009B2722">
      <w:rPr>
        <w:rFonts w:ascii="楷体_GB2312" w:eastAsia="楷体_GB2312" w:hint="eastAsia"/>
        <w:color w:val="365F91"/>
      </w:rPr>
      <w:t xml:space="preserve">请务必阅读免责声明 </w:t>
    </w:r>
    <w:r w:rsidR="009A34B0">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A55" w:rsidRDefault="00393A55">
      <w:r>
        <w:separator/>
      </w:r>
    </w:p>
  </w:footnote>
  <w:footnote w:type="continuationSeparator" w:id="1">
    <w:p w:rsidR="00393A55" w:rsidRDefault="00393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6F7955" w:rsidP="00BE0C2F">
    <w:pPr>
      <w:jc w:val="left"/>
      <w:rPr>
        <w:color w:val="365F91"/>
      </w:rPr>
    </w:pPr>
    <w:r>
      <w:rPr>
        <w:noProof/>
        <w:color w:val="365F91"/>
      </w:rPr>
      <w:pict>
        <v:line id="_x0000_s2060" style="position:absolute;z-index:251656704" from=".7pt,53.1pt" to="499.95pt,53.1pt" strokecolor="#0070c0" strokeweight="1pt"/>
      </w:pict>
    </w:r>
    <w:r w:rsidR="009A34B0">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9A34B0">
      <w:rPr>
        <w:rFonts w:hint="eastAsia"/>
        <w:color w:val="365F91"/>
      </w:rPr>
      <w:t xml:space="preserve">                                   </w:t>
    </w:r>
    <w:r w:rsidR="009A34B0">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6F7955" w:rsidP="00C32A93">
    <w:pPr>
      <w:rPr>
        <w:rFonts w:ascii="华文新魏" w:eastAsia="华文新魏"/>
        <w:i/>
        <w:color w:val="17365D"/>
        <w:sz w:val="44"/>
      </w:rPr>
    </w:pPr>
    <w:r w:rsidRPr="006F7955">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9A34B0" w:rsidRPr="00D45027" w:rsidRDefault="009A34B0"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6F7955">
      <w:rPr>
        <w:noProof/>
        <w:color w:val="17365D"/>
      </w:rPr>
      <w:pict>
        <v:line id="_x0000_s2066" style="position:absolute;left:0;text-align:left;z-index:251658752" from="-70.5pt,-16.1pt" to="550.5pt,-16.1pt" strokecolor="#17365d" strokeweight="13.75pt"/>
      </w:pict>
    </w:r>
    <w:r w:rsidR="009A34B0">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6F7955">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9A34B0" w:rsidRPr="009B2722">
      <w:rPr>
        <w:rFonts w:hint="eastAsia"/>
        <w:noProof/>
        <w:color w:val="17365D"/>
      </w:rPr>
      <w:t xml:space="preserve"> </w:t>
    </w:r>
    <w:r w:rsidR="009A34B0">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5D10"/>
    <w:rsid w:val="00016523"/>
    <w:rsid w:val="000206F7"/>
    <w:rsid w:val="00021245"/>
    <w:rsid w:val="000225BD"/>
    <w:rsid w:val="000237F5"/>
    <w:rsid w:val="00023E4C"/>
    <w:rsid w:val="00023F36"/>
    <w:rsid w:val="00023F39"/>
    <w:rsid w:val="0002514C"/>
    <w:rsid w:val="000255DB"/>
    <w:rsid w:val="00025CF4"/>
    <w:rsid w:val="000262AE"/>
    <w:rsid w:val="00026BAA"/>
    <w:rsid w:val="0002714F"/>
    <w:rsid w:val="000276A2"/>
    <w:rsid w:val="00027B42"/>
    <w:rsid w:val="00030BE4"/>
    <w:rsid w:val="00030BF2"/>
    <w:rsid w:val="00031154"/>
    <w:rsid w:val="000312CB"/>
    <w:rsid w:val="00031948"/>
    <w:rsid w:val="000328D9"/>
    <w:rsid w:val="00032BD3"/>
    <w:rsid w:val="00034E5B"/>
    <w:rsid w:val="000359EB"/>
    <w:rsid w:val="00036677"/>
    <w:rsid w:val="00036B6F"/>
    <w:rsid w:val="00036C51"/>
    <w:rsid w:val="00036EC3"/>
    <w:rsid w:val="0003704E"/>
    <w:rsid w:val="0003716F"/>
    <w:rsid w:val="000375E9"/>
    <w:rsid w:val="00037A0B"/>
    <w:rsid w:val="00037CAF"/>
    <w:rsid w:val="00040905"/>
    <w:rsid w:val="00041762"/>
    <w:rsid w:val="00042AC1"/>
    <w:rsid w:val="00042ACE"/>
    <w:rsid w:val="0004317E"/>
    <w:rsid w:val="00043D72"/>
    <w:rsid w:val="00045320"/>
    <w:rsid w:val="000453AB"/>
    <w:rsid w:val="00047CA5"/>
    <w:rsid w:val="00050FE0"/>
    <w:rsid w:val="00051031"/>
    <w:rsid w:val="00051F65"/>
    <w:rsid w:val="00052091"/>
    <w:rsid w:val="00052B6B"/>
    <w:rsid w:val="00054FBA"/>
    <w:rsid w:val="000554E3"/>
    <w:rsid w:val="00057498"/>
    <w:rsid w:val="00057D0A"/>
    <w:rsid w:val="00057D76"/>
    <w:rsid w:val="00057DD5"/>
    <w:rsid w:val="000600FC"/>
    <w:rsid w:val="000608C3"/>
    <w:rsid w:val="000610FF"/>
    <w:rsid w:val="00062C0D"/>
    <w:rsid w:val="00062DAD"/>
    <w:rsid w:val="00063765"/>
    <w:rsid w:val="00063AB9"/>
    <w:rsid w:val="00064D8F"/>
    <w:rsid w:val="0006599F"/>
    <w:rsid w:val="00065DB0"/>
    <w:rsid w:val="00066203"/>
    <w:rsid w:val="000668A6"/>
    <w:rsid w:val="00067F09"/>
    <w:rsid w:val="0007036B"/>
    <w:rsid w:val="000712BA"/>
    <w:rsid w:val="000714D5"/>
    <w:rsid w:val="00071959"/>
    <w:rsid w:val="00071A39"/>
    <w:rsid w:val="0007246D"/>
    <w:rsid w:val="00072878"/>
    <w:rsid w:val="00073C4E"/>
    <w:rsid w:val="000759B9"/>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B25"/>
    <w:rsid w:val="00090E3A"/>
    <w:rsid w:val="00091532"/>
    <w:rsid w:val="00092534"/>
    <w:rsid w:val="00093738"/>
    <w:rsid w:val="00093C87"/>
    <w:rsid w:val="0009426A"/>
    <w:rsid w:val="00094972"/>
    <w:rsid w:val="00095D15"/>
    <w:rsid w:val="00095FF8"/>
    <w:rsid w:val="000969F3"/>
    <w:rsid w:val="00096BA5"/>
    <w:rsid w:val="00096E35"/>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49AF"/>
    <w:rsid w:val="000B57A1"/>
    <w:rsid w:val="000B6187"/>
    <w:rsid w:val="000B6662"/>
    <w:rsid w:val="000B66DE"/>
    <w:rsid w:val="000B6BBA"/>
    <w:rsid w:val="000B7B24"/>
    <w:rsid w:val="000B7B27"/>
    <w:rsid w:val="000C0D12"/>
    <w:rsid w:val="000C115E"/>
    <w:rsid w:val="000C1BD0"/>
    <w:rsid w:val="000C2829"/>
    <w:rsid w:val="000C2E6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72E7"/>
    <w:rsid w:val="000E1450"/>
    <w:rsid w:val="000E2972"/>
    <w:rsid w:val="000E35B4"/>
    <w:rsid w:val="000E43DA"/>
    <w:rsid w:val="000E45F7"/>
    <w:rsid w:val="000E4737"/>
    <w:rsid w:val="000E49BB"/>
    <w:rsid w:val="000E58B3"/>
    <w:rsid w:val="000E5A89"/>
    <w:rsid w:val="000E6356"/>
    <w:rsid w:val="000E647D"/>
    <w:rsid w:val="000E67EC"/>
    <w:rsid w:val="000E6DCF"/>
    <w:rsid w:val="000F0359"/>
    <w:rsid w:val="000F0D6D"/>
    <w:rsid w:val="000F0EA5"/>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3A6"/>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4F42"/>
    <w:rsid w:val="00135526"/>
    <w:rsid w:val="00135A1E"/>
    <w:rsid w:val="00136257"/>
    <w:rsid w:val="00136296"/>
    <w:rsid w:val="00137206"/>
    <w:rsid w:val="001410C9"/>
    <w:rsid w:val="00141757"/>
    <w:rsid w:val="00141891"/>
    <w:rsid w:val="00141947"/>
    <w:rsid w:val="00143092"/>
    <w:rsid w:val="00143705"/>
    <w:rsid w:val="00143C1F"/>
    <w:rsid w:val="00144CA5"/>
    <w:rsid w:val="00145167"/>
    <w:rsid w:val="0014557E"/>
    <w:rsid w:val="00145584"/>
    <w:rsid w:val="00145A74"/>
    <w:rsid w:val="001465EF"/>
    <w:rsid w:val="00146FC0"/>
    <w:rsid w:val="0014713B"/>
    <w:rsid w:val="0015012F"/>
    <w:rsid w:val="00151A82"/>
    <w:rsid w:val="00151E92"/>
    <w:rsid w:val="001532CC"/>
    <w:rsid w:val="00153809"/>
    <w:rsid w:val="00153CFA"/>
    <w:rsid w:val="00154FED"/>
    <w:rsid w:val="0015575E"/>
    <w:rsid w:val="0015613A"/>
    <w:rsid w:val="00156356"/>
    <w:rsid w:val="00157456"/>
    <w:rsid w:val="0015753C"/>
    <w:rsid w:val="0015760F"/>
    <w:rsid w:val="001603A4"/>
    <w:rsid w:val="001618F6"/>
    <w:rsid w:val="00161C5A"/>
    <w:rsid w:val="00161D05"/>
    <w:rsid w:val="00161D20"/>
    <w:rsid w:val="0016394A"/>
    <w:rsid w:val="0016408E"/>
    <w:rsid w:val="0016469C"/>
    <w:rsid w:val="00164D48"/>
    <w:rsid w:val="00165B6A"/>
    <w:rsid w:val="00165E6F"/>
    <w:rsid w:val="00166C33"/>
    <w:rsid w:val="00166DC4"/>
    <w:rsid w:val="001676D6"/>
    <w:rsid w:val="001717B8"/>
    <w:rsid w:val="00171B77"/>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1305"/>
    <w:rsid w:val="001A136C"/>
    <w:rsid w:val="001A13A4"/>
    <w:rsid w:val="001A1515"/>
    <w:rsid w:val="001A1697"/>
    <w:rsid w:val="001A1E9B"/>
    <w:rsid w:val="001A2FB0"/>
    <w:rsid w:val="001A3173"/>
    <w:rsid w:val="001A377B"/>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2777"/>
    <w:rsid w:val="001B42F8"/>
    <w:rsid w:val="001B4690"/>
    <w:rsid w:val="001B50A0"/>
    <w:rsid w:val="001B592A"/>
    <w:rsid w:val="001B6370"/>
    <w:rsid w:val="001B744A"/>
    <w:rsid w:val="001C06C8"/>
    <w:rsid w:val="001C1100"/>
    <w:rsid w:val="001C18C2"/>
    <w:rsid w:val="001C1A9B"/>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5409"/>
    <w:rsid w:val="001D7547"/>
    <w:rsid w:val="001D7F3A"/>
    <w:rsid w:val="001E0A9E"/>
    <w:rsid w:val="001E11AE"/>
    <w:rsid w:val="001E1658"/>
    <w:rsid w:val="001E1A05"/>
    <w:rsid w:val="001E1A30"/>
    <w:rsid w:val="001E28A8"/>
    <w:rsid w:val="001E3307"/>
    <w:rsid w:val="001E3E99"/>
    <w:rsid w:val="001E428E"/>
    <w:rsid w:val="001E4307"/>
    <w:rsid w:val="001E4B78"/>
    <w:rsid w:val="001E4BF7"/>
    <w:rsid w:val="001E57D3"/>
    <w:rsid w:val="001E5888"/>
    <w:rsid w:val="001E6B69"/>
    <w:rsid w:val="001E769F"/>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1F61A1"/>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3F4C"/>
    <w:rsid w:val="002140BB"/>
    <w:rsid w:val="00214CFA"/>
    <w:rsid w:val="00215C38"/>
    <w:rsid w:val="002163C4"/>
    <w:rsid w:val="00216917"/>
    <w:rsid w:val="002169F0"/>
    <w:rsid w:val="002177DC"/>
    <w:rsid w:val="0021796C"/>
    <w:rsid w:val="00217FA2"/>
    <w:rsid w:val="002209A4"/>
    <w:rsid w:val="00221565"/>
    <w:rsid w:val="00221AFE"/>
    <w:rsid w:val="00222089"/>
    <w:rsid w:val="00222792"/>
    <w:rsid w:val="00222CEA"/>
    <w:rsid w:val="002239AC"/>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3C5"/>
    <w:rsid w:val="002364CB"/>
    <w:rsid w:val="00236E13"/>
    <w:rsid w:val="002377D3"/>
    <w:rsid w:val="00237C50"/>
    <w:rsid w:val="00237C7F"/>
    <w:rsid w:val="00237D1D"/>
    <w:rsid w:val="00240021"/>
    <w:rsid w:val="002403E6"/>
    <w:rsid w:val="002404B2"/>
    <w:rsid w:val="002406DA"/>
    <w:rsid w:val="002406F5"/>
    <w:rsid w:val="00240CEE"/>
    <w:rsid w:val="002415DD"/>
    <w:rsid w:val="002417E4"/>
    <w:rsid w:val="00242E30"/>
    <w:rsid w:val="002430E6"/>
    <w:rsid w:val="002436C5"/>
    <w:rsid w:val="00243BFB"/>
    <w:rsid w:val="00243C39"/>
    <w:rsid w:val="00245C22"/>
    <w:rsid w:val="00246578"/>
    <w:rsid w:val="002502B2"/>
    <w:rsid w:val="0025128E"/>
    <w:rsid w:val="002516D0"/>
    <w:rsid w:val="0025199E"/>
    <w:rsid w:val="00252A11"/>
    <w:rsid w:val="002539CD"/>
    <w:rsid w:val="002543C5"/>
    <w:rsid w:val="00254F4E"/>
    <w:rsid w:val="00255225"/>
    <w:rsid w:val="002554A7"/>
    <w:rsid w:val="002560C9"/>
    <w:rsid w:val="00256D22"/>
    <w:rsid w:val="0025725D"/>
    <w:rsid w:val="002576E3"/>
    <w:rsid w:val="002602F8"/>
    <w:rsid w:val="00260682"/>
    <w:rsid w:val="00260E8E"/>
    <w:rsid w:val="00260E9C"/>
    <w:rsid w:val="0026164E"/>
    <w:rsid w:val="002635A5"/>
    <w:rsid w:val="00263F61"/>
    <w:rsid w:val="002640D9"/>
    <w:rsid w:val="002643E7"/>
    <w:rsid w:val="0026443A"/>
    <w:rsid w:val="00265710"/>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D2F"/>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CB4"/>
    <w:rsid w:val="002A5D1E"/>
    <w:rsid w:val="002A6A74"/>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C0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04A"/>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6D3E"/>
    <w:rsid w:val="002F2398"/>
    <w:rsid w:val="002F2AA2"/>
    <w:rsid w:val="002F2BE6"/>
    <w:rsid w:val="002F3132"/>
    <w:rsid w:val="002F31C3"/>
    <w:rsid w:val="002F36C9"/>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834"/>
    <w:rsid w:val="00316B90"/>
    <w:rsid w:val="003172AD"/>
    <w:rsid w:val="0031783B"/>
    <w:rsid w:val="00317D89"/>
    <w:rsid w:val="00317F8D"/>
    <w:rsid w:val="003205D8"/>
    <w:rsid w:val="003205E3"/>
    <w:rsid w:val="00321534"/>
    <w:rsid w:val="0032176F"/>
    <w:rsid w:val="00321973"/>
    <w:rsid w:val="00322610"/>
    <w:rsid w:val="003241C2"/>
    <w:rsid w:val="00324CCD"/>
    <w:rsid w:val="00325E0C"/>
    <w:rsid w:val="00326071"/>
    <w:rsid w:val="0032727C"/>
    <w:rsid w:val="00327567"/>
    <w:rsid w:val="00327A3B"/>
    <w:rsid w:val="00327E9A"/>
    <w:rsid w:val="0033137B"/>
    <w:rsid w:val="00331491"/>
    <w:rsid w:val="00331E7F"/>
    <w:rsid w:val="003342F2"/>
    <w:rsid w:val="0033449D"/>
    <w:rsid w:val="00334F18"/>
    <w:rsid w:val="0033574E"/>
    <w:rsid w:val="003367F7"/>
    <w:rsid w:val="0033783A"/>
    <w:rsid w:val="00337CB5"/>
    <w:rsid w:val="003400F4"/>
    <w:rsid w:val="0034053B"/>
    <w:rsid w:val="0034058D"/>
    <w:rsid w:val="00340F6C"/>
    <w:rsid w:val="00340FE9"/>
    <w:rsid w:val="003410BF"/>
    <w:rsid w:val="003414F1"/>
    <w:rsid w:val="0034205C"/>
    <w:rsid w:val="0034264C"/>
    <w:rsid w:val="00343DD0"/>
    <w:rsid w:val="00345877"/>
    <w:rsid w:val="0034599A"/>
    <w:rsid w:val="00345B23"/>
    <w:rsid w:val="003467B9"/>
    <w:rsid w:val="0034683D"/>
    <w:rsid w:val="00346A46"/>
    <w:rsid w:val="00346D71"/>
    <w:rsid w:val="00347224"/>
    <w:rsid w:val="00350164"/>
    <w:rsid w:val="00350FC1"/>
    <w:rsid w:val="00351998"/>
    <w:rsid w:val="0035247A"/>
    <w:rsid w:val="003527E6"/>
    <w:rsid w:val="00352BA8"/>
    <w:rsid w:val="00352E43"/>
    <w:rsid w:val="0035336F"/>
    <w:rsid w:val="00353A89"/>
    <w:rsid w:val="0035542D"/>
    <w:rsid w:val="00355BB0"/>
    <w:rsid w:val="003569D8"/>
    <w:rsid w:val="00356A0E"/>
    <w:rsid w:val="0035739B"/>
    <w:rsid w:val="00357554"/>
    <w:rsid w:val="003610EF"/>
    <w:rsid w:val="0036112F"/>
    <w:rsid w:val="00361381"/>
    <w:rsid w:val="003613E5"/>
    <w:rsid w:val="00361D7F"/>
    <w:rsid w:val="00361FD7"/>
    <w:rsid w:val="00362C41"/>
    <w:rsid w:val="00362F08"/>
    <w:rsid w:val="0036392E"/>
    <w:rsid w:val="00363EF0"/>
    <w:rsid w:val="00363FD3"/>
    <w:rsid w:val="003645C3"/>
    <w:rsid w:val="003649D4"/>
    <w:rsid w:val="0036543C"/>
    <w:rsid w:val="003657A6"/>
    <w:rsid w:val="00365DE9"/>
    <w:rsid w:val="00365F70"/>
    <w:rsid w:val="0036602C"/>
    <w:rsid w:val="00366143"/>
    <w:rsid w:val="00366DCB"/>
    <w:rsid w:val="003706F3"/>
    <w:rsid w:val="00370B2D"/>
    <w:rsid w:val="00370C2A"/>
    <w:rsid w:val="00371277"/>
    <w:rsid w:val="0037255E"/>
    <w:rsid w:val="00372BF4"/>
    <w:rsid w:val="00373096"/>
    <w:rsid w:val="003731F4"/>
    <w:rsid w:val="00373DB8"/>
    <w:rsid w:val="00373F47"/>
    <w:rsid w:val="00374073"/>
    <w:rsid w:val="00374666"/>
    <w:rsid w:val="003750F9"/>
    <w:rsid w:val="00375A02"/>
    <w:rsid w:val="0037643E"/>
    <w:rsid w:val="00376676"/>
    <w:rsid w:val="00376C68"/>
    <w:rsid w:val="00376EF7"/>
    <w:rsid w:val="00377A47"/>
    <w:rsid w:val="003806D9"/>
    <w:rsid w:val="003807F6"/>
    <w:rsid w:val="00380C1D"/>
    <w:rsid w:val="00381017"/>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3A55"/>
    <w:rsid w:val="003944EB"/>
    <w:rsid w:val="00394612"/>
    <w:rsid w:val="00394741"/>
    <w:rsid w:val="00394872"/>
    <w:rsid w:val="00394C56"/>
    <w:rsid w:val="00394E9A"/>
    <w:rsid w:val="0039551C"/>
    <w:rsid w:val="0039563D"/>
    <w:rsid w:val="00395D98"/>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3FC"/>
    <w:rsid w:val="003D53B2"/>
    <w:rsid w:val="003D5ED5"/>
    <w:rsid w:val="003D6E64"/>
    <w:rsid w:val="003D6F3A"/>
    <w:rsid w:val="003D78EF"/>
    <w:rsid w:val="003E02C0"/>
    <w:rsid w:val="003E032E"/>
    <w:rsid w:val="003E0984"/>
    <w:rsid w:val="003E15C3"/>
    <w:rsid w:val="003E2C8F"/>
    <w:rsid w:val="003E3349"/>
    <w:rsid w:val="003E3521"/>
    <w:rsid w:val="003E3DAF"/>
    <w:rsid w:val="003E41B4"/>
    <w:rsid w:val="003E6062"/>
    <w:rsid w:val="003E6CE9"/>
    <w:rsid w:val="003E7330"/>
    <w:rsid w:val="003E7E59"/>
    <w:rsid w:val="003E7ED6"/>
    <w:rsid w:val="003F02DE"/>
    <w:rsid w:val="003F24B9"/>
    <w:rsid w:val="003F458E"/>
    <w:rsid w:val="003F5E2A"/>
    <w:rsid w:val="003F6AF8"/>
    <w:rsid w:val="003F6ECD"/>
    <w:rsid w:val="003F7064"/>
    <w:rsid w:val="003F7660"/>
    <w:rsid w:val="004007FE"/>
    <w:rsid w:val="00400D62"/>
    <w:rsid w:val="00400F0A"/>
    <w:rsid w:val="004026E4"/>
    <w:rsid w:val="004028FF"/>
    <w:rsid w:val="00402AC1"/>
    <w:rsid w:val="00403183"/>
    <w:rsid w:val="004044AC"/>
    <w:rsid w:val="004044F2"/>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FAE"/>
    <w:rsid w:val="0041620C"/>
    <w:rsid w:val="00416935"/>
    <w:rsid w:val="00421018"/>
    <w:rsid w:val="00421191"/>
    <w:rsid w:val="00421AE1"/>
    <w:rsid w:val="00422031"/>
    <w:rsid w:val="004228A9"/>
    <w:rsid w:val="00423D73"/>
    <w:rsid w:val="00425354"/>
    <w:rsid w:val="004255D9"/>
    <w:rsid w:val="004257DF"/>
    <w:rsid w:val="00426714"/>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6D56"/>
    <w:rsid w:val="00447F70"/>
    <w:rsid w:val="00450040"/>
    <w:rsid w:val="00450246"/>
    <w:rsid w:val="0045130F"/>
    <w:rsid w:val="00453482"/>
    <w:rsid w:val="00454B85"/>
    <w:rsid w:val="004551F4"/>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42C"/>
    <w:rsid w:val="00463571"/>
    <w:rsid w:val="00465C5C"/>
    <w:rsid w:val="00465F84"/>
    <w:rsid w:val="00466601"/>
    <w:rsid w:val="00467E59"/>
    <w:rsid w:val="00470216"/>
    <w:rsid w:val="00471407"/>
    <w:rsid w:val="00472238"/>
    <w:rsid w:val="0047268C"/>
    <w:rsid w:val="00472731"/>
    <w:rsid w:val="004733C5"/>
    <w:rsid w:val="00473582"/>
    <w:rsid w:val="0047470A"/>
    <w:rsid w:val="00474713"/>
    <w:rsid w:val="00474B88"/>
    <w:rsid w:val="004753BF"/>
    <w:rsid w:val="0047663A"/>
    <w:rsid w:val="004809A6"/>
    <w:rsid w:val="0048150A"/>
    <w:rsid w:val="004847B0"/>
    <w:rsid w:val="0048486C"/>
    <w:rsid w:val="0048499B"/>
    <w:rsid w:val="00484FA7"/>
    <w:rsid w:val="0048517C"/>
    <w:rsid w:val="0048542C"/>
    <w:rsid w:val="00486A2B"/>
    <w:rsid w:val="004873DE"/>
    <w:rsid w:val="004878DF"/>
    <w:rsid w:val="00490AB5"/>
    <w:rsid w:val="00490FDB"/>
    <w:rsid w:val="004910C8"/>
    <w:rsid w:val="004911E2"/>
    <w:rsid w:val="00491AE3"/>
    <w:rsid w:val="004920CC"/>
    <w:rsid w:val="0049249A"/>
    <w:rsid w:val="00493288"/>
    <w:rsid w:val="00493404"/>
    <w:rsid w:val="00493701"/>
    <w:rsid w:val="00493C9A"/>
    <w:rsid w:val="00495A3E"/>
    <w:rsid w:val="00496F01"/>
    <w:rsid w:val="00497714"/>
    <w:rsid w:val="004A0181"/>
    <w:rsid w:val="004A0B06"/>
    <w:rsid w:val="004A0BD5"/>
    <w:rsid w:val="004A1559"/>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25F"/>
    <w:rsid w:val="004A7CE6"/>
    <w:rsid w:val="004A7D9D"/>
    <w:rsid w:val="004A7FB9"/>
    <w:rsid w:val="004B02D4"/>
    <w:rsid w:val="004B0454"/>
    <w:rsid w:val="004B0519"/>
    <w:rsid w:val="004B0B64"/>
    <w:rsid w:val="004B2949"/>
    <w:rsid w:val="004B2B25"/>
    <w:rsid w:val="004B37E7"/>
    <w:rsid w:val="004B3895"/>
    <w:rsid w:val="004B403A"/>
    <w:rsid w:val="004B446D"/>
    <w:rsid w:val="004B49D6"/>
    <w:rsid w:val="004B53B6"/>
    <w:rsid w:val="004B59EC"/>
    <w:rsid w:val="004B5B72"/>
    <w:rsid w:val="004B5DB2"/>
    <w:rsid w:val="004B5EEC"/>
    <w:rsid w:val="004B6BF5"/>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712"/>
    <w:rsid w:val="004C6B4D"/>
    <w:rsid w:val="004C6B9D"/>
    <w:rsid w:val="004C7135"/>
    <w:rsid w:val="004C783B"/>
    <w:rsid w:val="004D27FA"/>
    <w:rsid w:val="004D330F"/>
    <w:rsid w:val="004D33D3"/>
    <w:rsid w:val="004D3482"/>
    <w:rsid w:val="004D38C1"/>
    <w:rsid w:val="004D51C5"/>
    <w:rsid w:val="004D65BB"/>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07C0C"/>
    <w:rsid w:val="005102B0"/>
    <w:rsid w:val="005110B0"/>
    <w:rsid w:val="00511A1A"/>
    <w:rsid w:val="00511CEB"/>
    <w:rsid w:val="00512295"/>
    <w:rsid w:val="00512BAA"/>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210"/>
    <w:rsid w:val="005355F3"/>
    <w:rsid w:val="005359CA"/>
    <w:rsid w:val="00535C94"/>
    <w:rsid w:val="005362B8"/>
    <w:rsid w:val="005362F4"/>
    <w:rsid w:val="00536494"/>
    <w:rsid w:val="005366CF"/>
    <w:rsid w:val="00537074"/>
    <w:rsid w:val="00541452"/>
    <w:rsid w:val="0054210C"/>
    <w:rsid w:val="0054319F"/>
    <w:rsid w:val="0054389E"/>
    <w:rsid w:val="00543EC5"/>
    <w:rsid w:val="00543FAF"/>
    <w:rsid w:val="00544419"/>
    <w:rsid w:val="00545456"/>
    <w:rsid w:val="00545586"/>
    <w:rsid w:val="00545DE0"/>
    <w:rsid w:val="005464D2"/>
    <w:rsid w:val="00547351"/>
    <w:rsid w:val="005479DD"/>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67BBE"/>
    <w:rsid w:val="005704DC"/>
    <w:rsid w:val="005709E9"/>
    <w:rsid w:val="00570ED7"/>
    <w:rsid w:val="005719D8"/>
    <w:rsid w:val="00571D7A"/>
    <w:rsid w:val="0057227B"/>
    <w:rsid w:val="00573DF0"/>
    <w:rsid w:val="0057436B"/>
    <w:rsid w:val="005745AC"/>
    <w:rsid w:val="00574709"/>
    <w:rsid w:val="005749F4"/>
    <w:rsid w:val="00574A36"/>
    <w:rsid w:val="00574FEB"/>
    <w:rsid w:val="005750F6"/>
    <w:rsid w:val="00576301"/>
    <w:rsid w:val="005765E7"/>
    <w:rsid w:val="00577C8B"/>
    <w:rsid w:val="00580617"/>
    <w:rsid w:val="005818EC"/>
    <w:rsid w:val="00582561"/>
    <w:rsid w:val="00582C5D"/>
    <w:rsid w:val="0058417B"/>
    <w:rsid w:val="00584824"/>
    <w:rsid w:val="00584EB1"/>
    <w:rsid w:val="00585F5D"/>
    <w:rsid w:val="005874AD"/>
    <w:rsid w:val="00587B61"/>
    <w:rsid w:val="00590012"/>
    <w:rsid w:val="005902E7"/>
    <w:rsid w:val="00590A3E"/>
    <w:rsid w:val="005918ED"/>
    <w:rsid w:val="00591A51"/>
    <w:rsid w:val="00592FEA"/>
    <w:rsid w:val="005939A6"/>
    <w:rsid w:val="00594043"/>
    <w:rsid w:val="005944DA"/>
    <w:rsid w:val="00594EDD"/>
    <w:rsid w:val="00594EE5"/>
    <w:rsid w:val="00596BE7"/>
    <w:rsid w:val="00597786"/>
    <w:rsid w:val="005A019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6352"/>
    <w:rsid w:val="006066B3"/>
    <w:rsid w:val="00606832"/>
    <w:rsid w:val="00606EAC"/>
    <w:rsid w:val="006072D1"/>
    <w:rsid w:val="00607AA4"/>
    <w:rsid w:val="00607EA9"/>
    <w:rsid w:val="006106B6"/>
    <w:rsid w:val="00610D23"/>
    <w:rsid w:val="0061275D"/>
    <w:rsid w:val="0061281C"/>
    <w:rsid w:val="0061352E"/>
    <w:rsid w:val="006136AF"/>
    <w:rsid w:val="00613EEC"/>
    <w:rsid w:val="006149FA"/>
    <w:rsid w:val="00614AAC"/>
    <w:rsid w:val="00614BDE"/>
    <w:rsid w:val="0061507A"/>
    <w:rsid w:val="00616391"/>
    <w:rsid w:val="006164A4"/>
    <w:rsid w:val="006166E5"/>
    <w:rsid w:val="0061765F"/>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D2F"/>
    <w:rsid w:val="00636F0E"/>
    <w:rsid w:val="00637ED3"/>
    <w:rsid w:val="00640CC5"/>
    <w:rsid w:val="00641CC9"/>
    <w:rsid w:val="00643935"/>
    <w:rsid w:val="00643FF5"/>
    <w:rsid w:val="00644206"/>
    <w:rsid w:val="00644490"/>
    <w:rsid w:val="006449AE"/>
    <w:rsid w:val="006449F8"/>
    <w:rsid w:val="00645261"/>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337C"/>
    <w:rsid w:val="00653988"/>
    <w:rsid w:val="00654DB2"/>
    <w:rsid w:val="00655925"/>
    <w:rsid w:val="00656F81"/>
    <w:rsid w:val="00663769"/>
    <w:rsid w:val="00664CD1"/>
    <w:rsid w:val="0066538F"/>
    <w:rsid w:val="00665A89"/>
    <w:rsid w:val="00665BB0"/>
    <w:rsid w:val="00665C97"/>
    <w:rsid w:val="006661DD"/>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E7C"/>
    <w:rsid w:val="006A728F"/>
    <w:rsid w:val="006A7C66"/>
    <w:rsid w:val="006B04C2"/>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6597"/>
    <w:rsid w:val="006C65DD"/>
    <w:rsid w:val="006C6AC1"/>
    <w:rsid w:val="006C6D01"/>
    <w:rsid w:val="006C6DBE"/>
    <w:rsid w:val="006C75B6"/>
    <w:rsid w:val="006C77DB"/>
    <w:rsid w:val="006C7F52"/>
    <w:rsid w:val="006D097C"/>
    <w:rsid w:val="006D181D"/>
    <w:rsid w:val="006D1A54"/>
    <w:rsid w:val="006D1D76"/>
    <w:rsid w:val="006D298D"/>
    <w:rsid w:val="006D3E29"/>
    <w:rsid w:val="006D429E"/>
    <w:rsid w:val="006D5080"/>
    <w:rsid w:val="006D51E6"/>
    <w:rsid w:val="006D52BC"/>
    <w:rsid w:val="006D69BF"/>
    <w:rsid w:val="006D7D02"/>
    <w:rsid w:val="006E0E79"/>
    <w:rsid w:val="006E16F0"/>
    <w:rsid w:val="006E17FB"/>
    <w:rsid w:val="006E40D7"/>
    <w:rsid w:val="006E47CD"/>
    <w:rsid w:val="006E52B4"/>
    <w:rsid w:val="006E5622"/>
    <w:rsid w:val="006E5939"/>
    <w:rsid w:val="006E60C9"/>
    <w:rsid w:val="006E61EB"/>
    <w:rsid w:val="006E64D7"/>
    <w:rsid w:val="006E65E3"/>
    <w:rsid w:val="006E6B9C"/>
    <w:rsid w:val="006E6C82"/>
    <w:rsid w:val="006E6CE3"/>
    <w:rsid w:val="006F0198"/>
    <w:rsid w:val="006F148C"/>
    <w:rsid w:val="006F3017"/>
    <w:rsid w:val="006F4392"/>
    <w:rsid w:val="006F5399"/>
    <w:rsid w:val="006F5BD1"/>
    <w:rsid w:val="006F636B"/>
    <w:rsid w:val="006F7955"/>
    <w:rsid w:val="00700C43"/>
    <w:rsid w:val="00700EA5"/>
    <w:rsid w:val="00701A9E"/>
    <w:rsid w:val="00701E90"/>
    <w:rsid w:val="007020AF"/>
    <w:rsid w:val="007025D3"/>
    <w:rsid w:val="00702BFD"/>
    <w:rsid w:val="00702DFA"/>
    <w:rsid w:val="007031EF"/>
    <w:rsid w:val="007041F4"/>
    <w:rsid w:val="00704269"/>
    <w:rsid w:val="007059F9"/>
    <w:rsid w:val="00706149"/>
    <w:rsid w:val="0070702D"/>
    <w:rsid w:val="0070727E"/>
    <w:rsid w:val="007076AE"/>
    <w:rsid w:val="007079D8"/>
    <w:rsid w:val="00710D9A"/>
    <w:rsid w:val="00710EAC"/>
    <w:rsid w:val="00710FDC"/>
    <w:rsid w:val="007114D6"/>
    <w:rsid w:val="0071191B"/>
    <w:rsid w:val="00711AB4"/>
    <w:rsid w:val="00712DF5"/>
    <w:rsid w:val="00713078"/>
    <w:rsid w:val="00713194"/>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4D"/>
    <w:rsid w:val="007257D3"/>
    <w:rsid w:val="0072585C"/>
    <w:rsid w:val="00726038"/>
    <w:rsid w:val="007261BF"/>
    <w:rsid w:val="0072682D"/>
    <w:rsid w:val="0072718F"/>
    <w:rsid w:val="007312E7"/>
    <w:rsid w:val="00731424"/>
    <w:rsid w:val="00732981"/>
    <w:rsid w:val="0073322D"/>
    <w:rsid w:val="00733DA2"/>
    <w:rsid w:val="007342D3"/>
    <w:rsid w:val="00734D44"/>
    <w:rsid w:val="00735035"/>
    <w:rsid w:val="00735072"/>
    <w:rsid w:val="00735AD4"/>
    <w:rsid w:val="00736026"/>
    <w:rsid w:val="00736DD4"/>
    <w:rsid w:val="00740116"/>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E09"/>
    <w:rsid w:val="00754613"/>
    <w:rsid w:val="007548A3"/>
    <w:rsid w:val="00756F5D"/>
    <w:rsid w:val="0075717C"/>
    <w:rsid w:val="007575C6"/>
    <w:rsid w:val="00760038"/>
    <w:rsid w:val="0076069B"/>
    <w:rsid w:val="00760AB2"/>
    <w:rsid w:val="00761495"/>
    <w:rsid w:val="007615D6"/>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CD1"/>
    <w:rsid w:val="00767EA5"/>
    <w:rsid w:val="007709AE"/>
    <w:rsid w:val="00771B4E"/>
    <w:rsid w:val="00774119"/>
    <w:rsid w:val="007750EA"/>
    <w:rsid w:val="007751D5"/>
    <w:rsid w:val="00775E9D"/>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2037"/>
    <w:rsid w:val="007A2694"/>
    <w:rsid w:val="007A2F2F"/>
    <w:rsid w:val="007A3036"/>
    <w:rsid w:val="007A3414"/>
    <w:rsid w:val="007A3C46"/>
    <w:rsid w:val="007A4428"/>
    <w:rsid w:val="007A47F1"/>
    <w:rsid w:val="007A4CC0"/>
    <w:rsid w:val="007A4DF7"/>
    <w:rsid w:val="007A718C"/>
    <w:rsid w:val="007A7B4F"/>
    <w:rsid w:val="007A7E9F"/>
    <w:rsid w:val="007B08C8"/>
    <w:rsid w:val="007B0AD8"/>
    <w:rsid w:val="007B0B37"/>
    <w:rsid w:val="007B10A2"/>
    <w:rsid w:val="007B1486"/>
    <w:rsid w:val="007B1553"/>
    <w:rsid w:val="007B1CD0"/>
    <w:rsid w:val="007B2095"/>
    <w:rsid w:val="007B2501"/>
    <w:rsid w:val="007B26EB"/>
    <w:rsid w:val="007B2C51"/>
    <w:rsid w:val="007B3252"/>
    <w:rsid w:val="007B3CF1"/>
    <w:rsid w:val="007B42A8"/>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19C6"/>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8F"/>
    <w:rsid w:val="007F395A"/>
    <w:rsid w:val="007F3E1D"/>
    <w:rsid w:val="007F4C9D"/>
    <w:rsid w:val="007F5709"/>
    <w:rsid w:val="007F5BB0"/>
    <w:rsid w:val="007F5BCB"/>
    <w:rsid w:val="007F5D86"/>
    <w:rsid w:val="007F5E53"/>
    <w:rsid w:val="007F5F09"/>
    <w:rsid w:val="007F6ACB"/>
    <w:rsid w:val="007F6F57"/>
    <w:rsid w:val="007F7317"/>
    <w:rsid w:val="00800E62"/>
    <w:rsid w:val="00801863"/>
    <w:rsid w:val="0080229F"/>
    <w:rsid w:val="00803498"/>
    <w:rsid w:val="00803AC9"/>
    <w:rsid w:val="0080473B"/>
    <w:rsid w:val="00804C21"/>
    <w:rsid w:val="008050DF"/>
    <w:rsid w:val="00805B0A"/>
    <w:rsid w:val="00805F80"/>
    <w:rsid w:val="00806FBF"/>
    <w:rsid w:val="00810230"/>
    <w:rsid w:val="008107A3"/>
    <w:rsid w:val="00811ECE"/>
    <w:rsid w:val="00811F44"/>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45A4"/>
    <w:rsid w:val="00834AA4"/>
    <w:rsid w:val="0083545A"/>
    <w:rsid w:val="00835F9D"/>
    <w:rsid w:val="0083719B"/>
    <w:rsid w:val="008371ED"/>
    <w:rsid w:val="00840516"/>
    <w:rsid w:val="00840F79"/>
    <w:rsid w:val="00840FD4"/>
    <w:rsid w:val="008423DF"/>
    <w:rsid w:val="00842450"/>
    <w:rsid w:val="00843173"/>
    <w:rsid w:val="008438F9"/>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5C1C"/>
    <w:rsid w:val="00855FA6"/>
    <w:rsid w:val="00856B7F"/>
    <w:rsid w:val="00856E91"/>
    <w:rsid w:val="00857269"/>
    <w:rsid w:val="00860FE1"/>
    <w:rsid w:val="00861335"/>
    <w:rsid w:val="00861891"/>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6448"/>
    <w:rsid w:val="00896790"/>
    <w:rsid w:val="0089684D"/>
    <w:rsid w:val="00897F25"/>
    <w:rsid w:val="008A1A47"/>
    <w:rsid w:val="008A25E0"/>
    <w:rsid w:val="008A3ABE"/>
    <w:rsid w:val="008A3B06"/>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289"/>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435"/>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590"/>
    <w:rsid w:val="009456D1"/>
    <w:rsid w:val="00945D42"/>
    <w:rsid w:val="009460E6"/>
    <w:rsid w:val="00946F65"/>
    <w:rsid w:val="00947458"/>
    <w:rsid w:val="0094790A"/>
    <w:rsid w:val="00950203"/>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6B5"/>
    <w:rsid w:val="00981E1D"/>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88D"/>
    <w:rsid w:val="00994C5E"/>
    <w:rsid w:val="0099601B"/>
    <w:rsid w:val="0099659B"/>
    <w:rsid w:val="0099667D"/>
    <w:rsid w:val="00996C20"/>
    <w:rsid w:val="00996C75"/>
    <w:rsid w:val="00997B08"/>
    <w:rsid w:val="00997D52"/>
    <w:rsid w:val="009A0234"/>
    <w:rsid w:val="009A0AF6"/>
    <w:rsid w:val="009A10E1"/>
    <w:rsid w:val="009A12C2"/>
    <w:rsid w:val="009A20D1"/>
    <w:rsid w:val="009A2730"/>
    <w:rsid w:val="009A3439"/>
    <w:rsid w:val="009A34B0"/>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425B"/>
    <w:rsid w:val="009B4269"/>
    <w:rsid w:val="009B44B7"/>
    <w:rsid w:val="009B4786"/>
    <w:rsid w:val="009B4B10"/>
    <w:rsid w:val="009B5A43"/>
    <w:rsid w:val="009B5F9C"/>
    <w:rsid w:val="009B60F9"/>
    <w:rsid w:val="009B6153"/>
    <w:rsid w:val="009B6307"/>
    <w:rsid w:val="009B631C"/>
    <w:rsid w:val="009B6DD9"/>
    <w:rsid w:val="009B73F9"/>
    <w:rsid w:val="009C033E"/>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96F"/>
    <w:rsid w:val="009F5ACB"/>
    <w:rsid w:val="00A00384"/>
    <w:rsid w:val="00A006E5"/>
    <w:rsid w:val="00A01B45"/>
    <w:rsid w:val="00A01F43"/>
    <w:rsid w:val="00A0253F"/>
    <w:rsid w:val="00A0254F"/>
    <w:rsid w:val="00A02E79"/>
    <w:rsid w:val="00A05E15"/>
    <w:rsid w:val="00A060B5"/>
    <w:rsid w:val="00A11C43"/>
    <w:rsid w:val="00A12C53"/>
    <w:rsid w:val="00A1339F"/>
    <w:rsid w:val="00A1355C"/>
    <w:rsid w:val="00A13AE3"/>
    <w:rsid w:val="00A13D4E"/>
    <w:rsid w:val="00A153DD"/>
    <w:rsid w:val="00A1550A"/>
    <w:rsid w:val="00A15652"/>
    <w:rsid w:val="00A15C90"/>
    <w:rsid w:val="00A1616E"/>
    <w:rsid w:val="00A1633D"/>
    <w:rsid w:val="00A165CF"/>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6F5A"/>
    <w:rsid w:val="00A37755"/>
    <w:rsid w:val="00A37E4F"/>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433"/>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B0E"/>
    <w:rsid w:val="00A60F37"/>
    <w:rsid w:val="00A60F46"/>
    <w:rsid w:val="00A61124"/>
    <w:rsid w:val="00A614FF"/>
    <w:rsid w:val="00A61DC4"/>
    <w:rsid w:val="00A62736"/>
    <w:rsid w:val="00A6421D"/>
    <w:rsid w:val="00A6439A"/>
    <w:rsid w:val="00A64506"/>
    <w:rsid w:val="00A66E38"/>
    <w:rsid w:val="00A67139"/>
    <w:rsid w:val="00A6722A"/>
    <w:rsid w:val="00A70011"/>
    <w:rsid w:val="00A701DE"/>
    <w:rsid w:val="00A70D2A"/>
    <w:rsid w:val="00A71450"/>
    <w:rsid w:val="00A7184C"/>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57"/>
    <w:rsid w:val="00A803CD"/>
    <w:rsid w:val="00A8105A"/>
    <w:rsid w:val="00A8106A"/>
    <w:rsid w:val="00A81403"/>
    <w:rsid w:val="00A81DE4"/>
    <w:rsid w:val="00A81E1B"/>
    <w:rsid w:val="00A82948"/>
    <w:rsid w:val="00A82CF5"/>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223"/>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0121"/>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E2A"/>
    <w:rsid w:val="00AC43D0"/>
    <w:rsid w:val="00AC4622"/>
    <w:rsid w:val="00AC4638"/>
    <w:rsid w:val="00AC4B9B"/>
    <w:rsid w:val="00AC56C0"/>
    <w:rsid w:val="00AC5988"/>
    <w:rsid w:val="00AC5C90"/>
    <w:rsid w:val="00AC6156"/>
    <w:rsid w:val="00AC7F02"/>
    <w:rsid w:val="00AD078D"/>
    <w:rsid w:val="00AD12EF"/>
    <w:rsid w:val="00AD1584"/>
    <w:rsid w:val="00AD18EE"/>
    <w:rsid w:val="00AD1C31"/>
    <w:rsid w:val="00AD1CD1"/>
    <w:rsid w:val="00AD29B4"/>
    <w:rsid w:val="00AD2DAA"/>
    <w:rsid w:val="00AD3456"/>
    <w:rsid w:val="00AD3468"/>
    <w:rsid w:val="00AD3DBC"/>
    <w:rsid w:val="00AD6D61"/>
    <w:rsid w:val="00AD7EA7"/>
    <w:rsid w:val="00AE0CD9"/>
    <w:rsid w:val="00AE0F0E"/>
    <w:rsid w:val="00AE0F8A"/>
    <w:rsid w:val="00AE1C42"/>
    <w:rsid w:val="00AE2B5C"/>
    <w:rsid w:val="00AE4798"/>
    <w:rsid w:val="00AE4826"/>
    <w:rsid w:val="00AE4C77"/>
    <w:rsid w:val="00AE4DDD"/>
    <w:rsid w:val="00AE4DFA"/>
    <w:rsid w:val="00AE79FF"/>
    <w:rsid w:val="00AF00F4"/>
    <w:rsid w:val="00AF109C"/>
    <w:rsid w:val="00AF1149"/>
    <w:rsid w:val="00AF1176"/>
    <w:rsid w:val="00AF2B68"/>
    <w:rsid w:val="00AF32A1"/>
    <w:rsid w:val="00AF4796"/>
    <w:rsid w:val="00AF66D1"/>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17"/>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1A6"/>
    <w:rsid w:val="00B2624D"/>
    <w:rsid w:val="00B26280"/>
    <w:rsid w:val="00B26521"/>
    <w:rsid w:val="00B27B49"/>
    <w:rsid w:val="00B300F1"/>
    <w:rsid w:val="00B3100D"/>
    <w:rsid w:val="00B317F4"/>
    <w:rsid w:val="00B31F81"/>
    <w:rsid w:val="00B3244F"/>
    <w:rsid w:val="00B326AA"/>
    <w:rsid w:val="00B32D7D"/>
    <w:rsid w:val="00B337FB"/>
    <w:rsid w:val="00B35776"/>
    <w:rsid w:val="00B358EC"/>
    <w:rsid w:val="00B35968"/>
    <w:rsid w:val="00B3628A"/>
    <w:rsid w:val="00B37213"/>
    <w:rsid w:val="00B378F4"/>
    <w:rsid w:val="00B37C32"/>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62B2"/>
    <w:rsid w:val="00B46A9B"/>
    <w:rsid w:val="00B46C39"/>
    <w:rsid w:val="00B47B3F"/>
    <w:rsid w:val="00B47FD3"/>
    <w:rsid w:val="00B51598"/>
    <w:rsid w:val="00B51879"/>
    <w:rsid w:val="00B520E4"/>
    <w:rsid w:val="00B5251C"/>
    <w:rsid w:val="00B52584"/>
    <w:rsid w:val="00B52C0E"/>
    <w:rsid w:val="00B52E9E"/>
    <w:rsid w:val="00B536CF"/>
    <w:rsid w:val="00B53A8B"/>
    <w:rsid w:val="00B54915"/>
    <w:rsid w:val="00B54AA6"/>
    <w:rsid w:val="00B550C7"/>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75C8"/>
    <w:rsid w:val="00B677C8"/>
    <w:rsid w:val="00B67BF1"/>
    <w:rsid w:val="00B70D7F"/>
    <w:rsid w:val="00B70F14"/>
    <w:rsid w:val="00B71498"/>
    <w:rsid w:val="00B7231A"/>
    <w:rsid w:val="00B73EAB"/>
    <w:rsid w:val="00B74389"/>
    <w:rsid w:val="00B750F4"/>
    <w:rsid w:val="00B753BC"/>
    <w:rsid w:val="00B75547"/>
    <w:rsid w:val="00B75667"/>
    <w:rsid w:val="00B7738E"/>
    <w:rsid w:val="00B81200"/>
    <w:rsid w:val="00B81A53"/>
    <w:rsid w:val="00B81EC3"/>
    <w:rsid w:val="00B8206F"/>
    <w:rsid w:val="00B821C3"/>
    <w:rsid w:val="00B827F5"/>
    <w:rsid w:val="00B82934"/>
    <w:rsid w:val="00B82D5A"/>
    <w:rsid w:val="00B83147"/>
    <w:rsid w:val="00B840A8"/>
    <w:rsid w:val="00B8432D"/>
    <w:rsid w:val="00B846ED"/>
    <w:rsid w:val="00B84A8F"/>
    <w:rsid w:val="00B84AAB"/>
    <w:rsid w:val="00B859FC"/>
    <w:rsid w:val="00B85FA3"/>
    <w:rsid w:val="00B86B9C"/>
    <w:rsid w:val="00B86F38"/>
    <w:rsid w:val="00B87724"/>
    <w:rsid w:val="00B87739"/>
    <w:rsid w:val="00B8787F"/>
    <w:rsid w:val="00B90399"/>
    <w:rsid w:val="00B906B8"/>
    <w:rsid w:val="00B9305C"/>
    <w:rsid w:val="00B939E2"/>
    <w:rsid w:val="00B93BC9"/>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0246"/>
    <w:rsid w:val="00BC1637"/>
    <w:rsid w:val="00BC2268"/>
    <w:rsid w:val="00BC238F"/>
    <w:rsid w:val="00BC2764"/>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13E4"/>
    <w:rsid w:val="00BD2578"/>
    <w:rsid w:val="00BD2BEC"/>
    <w:rsid w:val="00BD3828"/>
    <w:rsid w:val="00BD3F44"/>
    <w:rsid w:val="00BD46D7"/>
    <w:rsid w:val="00BD476F"/>
    <w:rsid w:val="00BD62D1"/>
    <w:rsid w:val="00BD68D3"/>
    <w:rsid w:val="00BD715E"/>
    <w:rsid w:val="00BD7478"/>
    <w:rsid w:val="00BD79FE"/>
    <w:rsid w:val="00BE0C2F"/>
    <w:rsid w:val="00BE1E76"/>
    <w:rsid w:val="00BE2F93"/>
    <w:rsid w:val="00BE30EC"/>
    <w:rsid w:val="00BE3174"/>
    <w:rsid w:val="00BE3B6F"/>
    <w:rsid w:val="00BE3DB3"/>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6B0"/>
    <w:rsid w:val="00BF2C27"/>
    <w:rsid w:val="00BF2D82"/>
    <w:rsid w:val="00BF35E6"/>
    <w:rsid w:val="00BF373F"/>
    <w:rsid w:val="00BF3A61"/>
    <w:rsid w:val="00BF40EC"/>
    <w:rsid w:val="00BF4E84"/>
    <w:rsid w:val="00BF55FF"/>
    <w:rsid w:val="00BF5F13"/>
    <w:rsid w:val="00BF610B"/>
    <w:rsid w:val="00BF706B"/>
    <w:rsid w:val="00BF70C9"/>
    <w:rsid w:val="00BF7D62"/>
    <w:rsid w:val="00BF7E2C"/>
    <w:rsid w:val="00C00556"/>
    <w:rsid w:val="00C007FD"/>
    <w:rsid w:val="00C01045"/>
    <w:rsid w:val="00C012FA"/>
    <w:rsid w:val="00C01403"/>
    <w:rsid w:val="00C01F77"/>
    <w:rsid w:val="00C028D9"/>
    <w:rsid w:val="00C02AFB"/>
    <w:rsid w:val="00C03746"/>
    <w:rsid w:val="00C04012"/>
    <w:rsid w:val="00C04E95"/>
    <w:rsid w:val="00C05B6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816"/>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60FFB"/>
    <w:rsid w:val="00C61986"/>
    <w:rsid w:val="00C62DB2"/>
    <w:rsid w:val="00C65346"/>
    <w:rsid w:val="00C66002"/>
    <w:rsid w:val="00C661D9"/>
    <w:rsid w:val="00C66FE7"/>
    <w:rsid w:val="00C6702A"/>
    <w:rsid w:val="00C67042"/>
    <w:rsid w:val="00C6783B"/>
    <w:rsid w:val="00C67B78"/>
    <w:rsid w:val="00C70FF3"/>
    <w:rsid w:val="00C71640"/>
    <w:rsid w:val="00C718A6"/>
    <w:rsid w:val="00C71958"/>
    <w:rsid w:val="00C72C56"/>
    <w:rsid w:val="00C732ED"/>
    <w:rsid w:val="00C737C7"/>
    <w:rsid w:val="00C73953"/>
    <w:rsid w:val="00C745C3"/>
    <w:rsid w:val="00C760EA"/>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A0A"/>
    <w:rsid w:val="00C917CF"/>
    <w:rsid w:val="00C9222D"/>
    <w:rsid w:val="00C923AC"/>
    <w:rsid w:val="00C92B62"/>
    <w:rsid w:val="00C944E5"/>
    <w:rsid w:val="00C94BB9"/>
    <w:rsid w:val="00C94E5F"/>
    <w:rsid w:val="00C967BA"/>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5F3E"/>
    <w:rsid w:val="00CB7092"/>
    <w:rsid w:val="00CB7380"/>
    <w:rsid w:val="00CB7DFF"/>
    <w:rsid w:val="00CC02EF"/>
    <w:rsid w:val="00CC0457"/>
    <w:rsid w:val="00CC1151"/>
    <w:rsid w:val="00CC1247"/>
    <w:rsid w:val="00CC1D34"/>
    <w:rsid w:val="00CC26A4"/>
    <w:rsid w:val="00CC2892"/>
    <w:rsid w:val="00CC36FA"/>
    <w:rsid w:val="00CC48C0"/>
    <w:rsid w:val="00CC4E5D"/>
    <w:rsid w:val="00CC5129"/>
    <w:rsid w:val="00CC5276"/>
    <w:rsid w:val="00CC61F2"/>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2C77"/>
    <w:rsid w:val="00CE5118"/>
    <w:rsid w:val="00CE5645"/>
    <w:rsid w:val="00CE5862"/>
    <w:rsid w:val="00CE7276"/>
    <w:rsid w:val="00CF0A55"/>
    <w:rsid w:val="00CF1B71"/>
    <w:rsid w:val="00CF2993"/>
    <w:rsid w:val="00CF3703"/>
    <w:rsid w:val="00CF39C7"/>
    <w:rsid w:val="00CF7294"/>
    <w:rsid w:val="00CF7992"/>
    <w:rsid w:val="00D0196D"/>
    <w:rsid w:val="00D01D70"/>
    <w:rsid w:val="00D021C1"/>
    <w:rsid w:val="00D037D2"/>
    <w:rsid w:val="00D03B33"/>
    <w:rsid w:val="00D04494"/>
    <w:rsid w:val="00D0533D"/>
    <w:rsid w:val="00D053C8"/>
    <w:rsid w:val="00D058F5"/>
    <w:rsid w:val="00D068CB"/>
    <w:rsid w:val="00D10042"/>
    <w:rsid w:val="00D10C6B"/>
    <w:rsid w:val="00D11A60"/>
    <w:rsid w:val="00D122CB"/>
    <w:rsid w:val="00D1233C"/>
    <w:rsid w:val="00D12A79"/>
    <w:rsid w:val="00D12E1D"/>
    <w:rsid w:val="00D13443"/>
    <w:rsid w:val="00D13ADB"/>
    <w:rsid w:val="00D14333"/>
    <w:rsid w:val="00D15D6D"/>
    <w:rsid w:val="00D1632A"/>
    <w:rsid w:val="00D1690F"/>
    <w:rsid w:val="00D16FC3"/>
    <w:rsid w:val="00D17645"/>
    <w:rsid w:val="00D17A81"/>
    <w:rsid w:val="00D20881"/>
    <w:rsid w:val="00D20B66"/>
    <w:rsid w:val="00D20D7B"/>
    <w:rsid w:val="00D21FD4"/>
    <w:rsid w:val="00D2341F"/>
    <w:rsid w:val="00D24408"/>
    <w:rsid w:val="00D253D7"/>
    <w:rsid w:val="00D2579B"/>
    <w:rsid w:val="00D265B1"/>
    <w:rsid w:val="00D311B1"/>
    <w:rsid w:val="00D31DBE"/>
    <w:rsid w:val="00D32150"/>
    <w:rsid w:val="00D32A8D"/>
    <w:rsid w:val="00D3316E"/>
    <w:rsid w:val="00D335C9"/>
    <w:rsid w:val="00D33789"/>
    <w:rsid w:val="00D33997"/>
    <w:rsid w:val="00D343E5"/>
    <w:rsid w:val="00D354C5"/>
    <w:rsid w:val="00D354EC"/>
    <w:rsid w:val="00D35A2B"/>
    <w:rsid w:val="00D3646A"/>
    <w:rsid w:val="00D36819"/>
    <w:rsid w:val="00D37614"/>
    <w:rsid w:val="00D37A83"/>
    <w:rsid w:val="00D37F23"/>
    <w:rsid w:val="00D400BD"/>
    <w:rsid w:val="00D400C0"/>
    <w:rsid w:val="00D404CF"/>
    <w:rsid w:val="00D41DC6"/>
    <w:rsid w:val="00D427EE"/>
    <w:rsid w:val="00D42C98"/>
    <w:rsid w:val="00D42F51"/>
    <w:rsid w:val="00D435D8"/>
    <w:rsid w:val="00D446EE"/>
    <w:rsid w:val="00D45027"/>
    <w:rsid w:val="00D45A02"/>
    <w:rsid w:val="00D46562"/>
    <w:rsid w:val="00D47326"/>
    <w:rsid w:val="00D4741C"/>
    <w:rsid w:val="00D47B95"/>
    <w:rsid w:val="00D504D3"/>
    <w:rsid w:val="00D507CA"/>
    <w:rsid w:val="00D511D5"/>
    <w:rsid w:val="00D51D40"/>
    <w:rsid w:val="00D52024"/>
    <w:rsid w:val="00D52226"/>
    <w:rsid w:val="00D52516"/>
    <w:rsid w:val="00D52804"/>
    <w:rsid w:val="00D52D0A"/>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2D4D"/>
    <w:rsid w:val="00D65089"/>
    <w:rsid w:val="00D65DC2"/>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1B5A"/>
    <w:rsid w:val="00D91E5B"/>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1F5"/>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5014"/>
    <w:rsid w:val="00DB529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2E2"/>
    <w:rsid w:val="00DD7CA9"/>
    <w:rsid w:val="00DE0228"/>
    <w:rsid w:val="00DE1F2F"/>
    <w:rsid w:val="00DE27C6"/>
    <w:rsid w:val="00DE32D4"/>
    <w:rsid w:val="00DE4028"/>
    <w:rsid w:val="00DE51CC"/>
    <w:rsid w:val="00DE6179"/>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638"/>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CF4"/>
    <w:rsid w:val="00E1322F"/>
    <w:rsid w:val="00E13DCC"/>
    <w:rsid w:val="00E159A1"/>
    <w:rsid w:val="00E159A2"/>
    <w:rsid w:val="00E15F70"/>
    <w:rsid w:val="00E16087"/>
    <w:rsid w:val="00E16871"/>
    <w:rsid w:val="00E1687A"/>
    <w:rsid w:val="00E16DBD"/>
    <w:rsid w:val="00E1777E"/>
    <w:rsid w:val="00E178D9"/>
    <w:rsid w:val="00E17CE8"/>
    <w:rsid w:val="00E204FF"/>
    <w:rsid w:val="00E20617"/>
    <w:rsid w:val="00E20977"/>
    <w:rsid w:val="00E2463E"/>
    <w:rsid w:val="00E24CCB"/>
    <w:rsid w:val="00E25AF6"/>
    <w:rsid w:val="00E26C49"/>
    <w:rsid w:val="00E26D14"/>
    <w:rsid w:val="00E26E25"/>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4CD"/>
    <w:rsid w:val="00E5368B"/>
    <w:rsid w:val="00E55A14"/>
    <w:rsid w:val="00E564B8"/>
    <w:rsid w:val="00E56674"/>
    <w:rsid w:val="00E568F1"/>
    <w:rsid w:val="00E5695E"/>
    <w:rsid w:val="00E601DD"/>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2159"/>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96D"/>
    <w:rsid w:val="00E8517A"/>
    <w:rsid w:val="00E865B6"/>
    <w:rsid w:val="00E876CB"/>
    <w:rsid w:val="00E901C9"/>
    <w:rsid w:val="00E904A8"/>
    <w:rsid w:val="00E90AC7"/>
    <w:rsid w:val="00E90FFE"/>
    <w:rsid w:val="00E91387"/>
    <w:rsid w:val="00E92FE4"/>
    <w:rsid w:val="00E93453"/>
    <w:rsid w:val="00E93B4B"/>
    <w:rsid w:val="00E93E8A"/>
    <w:rsid w:val="00E93ECB"/>
    <w:rsid w:val="00E940B6"/>
    <w:rsid w:val="00E940C8"/>
    <w:rsid w:val="00E95128"/>
    <w:rsid w:val="00E95391"/>
    <w:rsid w:val="00E95A58"/>
    <w:rsid w:val="00E95C55"/>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F57"/>
    <w:rsid w:val="00EA7817"/>
    <w:rsid w:val="00EA7C69"/>
    <w:rsid w:val="00EB02EB"/>
    <w:rsid w:val="00EB05FF"/>
    <w:rsid w:val="00EB1A5E"/>
    <w:rsid w:val="00EB1BC9"/>
    <w:rsid w:val="00EB219E"/>
    <w:rsid w:val="00EB2756"/>
    <w:rsid w:val="00EB27CB"/>
    <w:rsid w:val="00EB2D06"/>
    <w:rsid w:val="00EB3318"/>
    <w:rsid w:val="00EB40F2"/>
    <w:rsid w:val="00EB42FA"/>
    <w:rsid w:val="00EB496E"/>
    <w:rsid w:val="00EB4A19"/>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119"/>
    <w:rsid w:val="00EF34FF"/>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1469"/>
    <w:rsid w:val="00F2162C"/>
    <w:rsid w:val="00F21729"/>
    <w:rsid w:val="00F2187E"/>
    <w:rsid w:val="00F221AF"/>
    <w:rsid w:val="00F23B66"/>
    <w:rsid w:val="00F23EFB"/>
    <w:rsid w:val="00F24272"/>
    <w:rsid w:val="00F2469F"/>
    <w:rsid w:val="00F24704"/>
    <w:rsid w:val="00F25316"/>
    <w:rsid w:val="00F25928"/>
    <w:rsid w:val="00F26A5F"/>
    <w:rsid w:val="00F26C75"/>
    <w:rsid w:val="00F26D6E"/>
    <w:rsid w:val="00F277FB"/>
    <w:rsid w:val="00F27DAF"/>
    <w:rsid w:val="00F30DFD"/>
    <w:rsid w:val="00F319F0"/>
    <w:rsid w:val="00F31D0F"/>
    <w:rsid w:val="00F32B04"/>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6734"/>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517C"/>
    <w:rsid w:val="00F95189"/>
    <w:rsid w:val="00F954CE"/>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746"/>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3861742">
      <w:bodyDiv w:val="1"/>
      <w:marLeft w:val="0"/>
      <w:marRight w:val="0"/>
      <w:marTop w:val="0"/>
      <w:marBottom w:val="0"/>
      <w:divBdr>
        <w:top w:val="none" w:sz="0" w:space="0" w:color="auto"/>
        <w:left w:val="none" w:sz="0" w:space="0" w:color="auto"/>
        <w:bottom w:val="none" w:sz="0" w:space="0" w:color="auto"/>
        <w:right w:val="none" w:sz="0" w:space="0" w:color="auto"/>
      </w:divBdr>
      <w:divsChild>
        <w:div w:id="1526018011">
          <w:marLeft w:val="0"/>
          <w:marRight w:val="0"/>
          <w:marTop w:val="0"/>
          <w:marBottom w:val="0"/>
          <w:divBdr>
            <w:top w:val="none" w:sz="0" w:space="0" w:color="auto"/>
            <w:left w:val="none" w:sz="0" w:space="0" w:color="auto"/>
            <w:bottom w:val="none" w:sz="0" w:space="0" w:color="auto"/>
            <w:right w:val="none" w:sz="0" w:space="0" w:color="auto"/>
          </w:divBdr>
        </w:div>
      </w:divsChild>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0314556">
      <w:bodyDiv w:val="1"/>
      <w:marLeft w:val="0"/>
      <w:marRight w:val="0"/>
      <w:marTop w:val="0"/>
      <w:marBottom w:val="0"/>
      <w:divBdr>
        <w:top w:val="none" w:sz="0" w:space="0" w:color="auto"/>
        <w:left w:val="none" w:sz="0" w:space="0" w:color="auto"/>
        <w:bottom w:val="none" w:sz="0" w:space="0" w:color="auto"/>
        <w:right w:val="none" w:sz="0" w:space="0" w:color="auto"/>
      </w:divBdr>
      <w:divsChild>
        <w:div w:id="41909851">
          <w:marLeft w:val="0"/>
          <w:marRight w:val="0"/>
          <w:marTop w:val="0"/>
          <w:marBottom w:val="0"/>
          <w:divBdr>
            <w:top w:val="none" w:sz="0" w:space="0" w:color="auto"/>
            <w:left w:val="none" w:sz="0" w:space="0" w:color="auto"/>
            <w:bottom w:val="none" w:sz="0" w:space="0" w:color="auto"/>
            <w:right w:val="none" w:sz="0" w:space="0" w:color="auto"/>
          </w:divBdr>
        </w:div>
      </w:divsChild>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07494485">
      <w:bodyDiv w:val="1"/>
      <w:marLeft w:val="0"/>
      <w:marRight w:val="0"/>
      <w:marTop w:val="0"/>
      <w:marBottom w:val="0"/>
      <w:divBdr>
        <w:top w:val="none" w:sz="0" w:space="0" w:color="auto"/>
        <w:left w:val="none" w:sz="0" w:space="0" w:color="auto"/>
        <w:bottom w:val="none" w:sz="0" w:space="0" w:color="auto"/>
        <w:right w:val="none" w:sz="0" w:space="0" w:color="auto"/>
      </w:divBdr>
      <w:divsChild>
        <w:div w:id="2037660042">
          <w:marLeft w:val="0"/>
          <w:marRight w:val="0"/>
          <w:marTop w:val="0"/>
          <w:marBottom w:val="0"/>
          <w:divBdr>
            <w:top w:val="none" w:sz="0" w:space="0" w:color="auto"/>
            <w:left w:val="none" w:sz="0" w:space="0" w:color="auto"/>
            <w:bottom w:val="none" w:sz="0" w:space="0" w:color="auto"/>
            <w:right w:val="none" w:sz="0" w:space="0" w:color="auto"/>
          </w:divBdr>
        </w:div>
      </w:divsChild>
    </w:div>
    <w:div w:id="210727379">
      <w:bodyDiv w:val="1"/>
      <w:marLeft w:val="0"/>
      <w:marRight w:val="0"/>
      <w:marTop w:val="0"/>
      <w:marBottom w:val="0"/>
      <w:divBdr>
        <w:top w:val="none" w:sz="0" w:space="0" w:color="auto"/>
        <w:left w:val="none" w:sz="0" w:space="0" w:color="auto"/>
        <w:bottom w:val="none" w:sz="0" w:space="0" w:color="auto"/>
        <w:right w:val="none" w:sz="0" w:space="0" w:color="auto"/>
      </w:divBdr>
      <w:divsChild>
        <w:div w:id="2112167234">
          <w:marLeft w:val="0"/>
          <w:marRight w:val="0"/>
          <w:marTop w:val="0"/>
          <w:marBottom w:val="0"/>
          <w:divBdr>
            <w:top w:val="none" w:sz="0" w:space="0" w:color="auto"/>
            <w:left w:val="none" w:sz="0" w:space="0" w:color="auto"/>
            <w:bottom w:val="none" w:sz="0" w:space="0" w:color="auto"/>
            <w:right w:val="none" w:sz="0" w:space="0" w:color="auto"/>
          </w:divBdr>
        </w:div>
      </w:divsChild>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53513101">
      <w:bodyDiv w:val="1"/>
      <w:marLeft w:val="0"/>
      <w:marRight w:val="0"/>
      <w:marTop w:val="0"/>
      <w:marBottom w:val="0"/>
      <w:divBdr>
        <w:top w:val="none" w:sz="0" w:space="0" w:color="auto"/>
        <w:left w:val="none" w:sz="0" w:space="0" w:color="auto"/>
        <w:bottom w:val="none" w:sz="0" w:space="0" w:color="auto"/>
        <w:right w:val="none" w:sz="0" w:space="0" w:color="auto"/>
      </w:divBdr>
      <w:divsChild>
        <w:div w:id="1318142854">
          <w:marLeft w:val="0"/>
          <w:marRight w:val="0"/>
          <w:marTop w:val="0"/>
          <w:marBottom w:val="0"/>
          <w:divBdr>
            <w:top w:val="none" w:sz="0" w:space="0" w:color="auto"/>
            <w:left w:val="none" w:sz="0" w:space="0" w:color="auto"/>
            <w:bottom w:val="none" w:sz="0" w:space="0" w:color="auto"/>
            <w:right w:val="none" w:sz="0" w:space="0" w:color="auto"/>
          </w:divBdr>
        </w:div>
      </w:divsChild>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6620868">
      <w:bodyDiv w:val="1"/>
      <w:marLeft w:val="0"/>
      <w:marRight w:val="0"/>
      <w:marTop w:val="0"/>
      <w:marBottom w:val="0"/>
      <w:divBdr>
        <w:top w:val="none" w:sz="0" w:space="0" w:color="auto"/>
        <w:left w:val="none" w:sz="0" w:space="0" w:color="auto"/>
        <w:bottom w:val="none" w:sz="0" w:space="0" w:color="auto"/>
        <w:right w:val="none" w:sz="0" w:space="0" w:color="auto"/>
      </w:divBdr>
      <w:divsChild>
        <w:div w:id="2115595285">
          <w:marLeft w:val="0"/>
          <w:marRight w:val="0"/>
          <w:marTop w:val="0"/>
          <w:marBottom w:val="0"/>
          <w:divBdr>
            <w:top w:val="none" w:sz="0" w:space="0" w:color="auto"/>
            <w:left w:val="none" w:sz="0" w:space="0" w:color="auto"/>
            <w:bottom w:val="none" w:sz="0" w:space="0" w:color="auto"/>
            <w:right w:val="none" w:sz="0" w:space="0" w:color="auto"/>
          </w:divBdr>
        </w:div>
      </w:divsChild>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27902575">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42896467">
      <w:bodyDiv w:val="1"/>
      <w:marLeft w:val="0"/>
      <w:marRight w:val="0"/>
      <w:marTop w:val="0"/>
      <w:marBottom w:val="0"/>
      <w:divBdr>
        <w:top w:val="none" w:sz="0" w:space="0" w:color="auto"/>
        <w:left w:val="none" w:sz="0" w:space="0" w:color="auto"/>
        <w:bottom w:val="none" w:sz="0" w:space="0" w:color="auto"/>
        <w:right w:val="none" w:sz="0" w:space="0" w:color="auto"/>
      </w:divBdr>
      <w:divsChild>
        <w:div w:id="772239068">
          <w:marLeft w:val="0"/>
          <w:marRight w:val="0"/>
          <w:marTop w:val="0"/>
          <w:marBottom w:val="0"/>
          <w:divBdr>
            <w:top w:val="none" w:sz="0" w:space="0" w:color="auto"/>
            <w:left w:val="none" w:sz="0" w:space="0" w:color="auto"/>
            <w:bottom w:val="none" w:sz="0" w:space="0" w:color="auto"/>
            <w:right w:val="none" w:sz="0" w:space="0" w:color="auto"/>
          </w:divBdr>
        </w:div>
      </w:divsChild>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54812461">
      <w:bodyDiv w:val="1"/>
      <w:marLeft w:val="0"/>
      <w:marRight w:val="0"/>
      <w:marTop w:val="0"/>
      <w:marBottom w:val="0"/>
      <w:divBdr>
        <w:top w:val="none" w:sz="0" w:space="0" w:color="auto"/>
        <w:left w:val="none" w:sz="0" w:space="0" w:color="auto"/>
        <w:bottom w:val="none" w:sz="0" w:space="0" w:color="auto"/>
        <w:right w:val="none" w:sz="0" w:space="0" w:color="auto"/>
      </w:divBdr>
      <w:divsChild>
        <w:div w:id="582757803">
          <w:marLeft w:val="0"/>
          <w:marRight w:val="0"/>
          <w:marTop w:val="0"/>
          <w:marBottom w:val="0"/>
          <w:divBdr>
            <w:top w:val="none" w:sz="0" w:space="0" w:color="auto"/>
            <w:left w:val="none" w:sz="0" w:space="0" w:color="auto"/>
            <w:bottom w:val="none" w:sz="0" w:space="0" w:color="auto"/>
            <w:right w:val="none" w:sz="0" w:space="0" w:color="auto"/>
          </w:divBdr>
        </w:div>
      </w:divsChild>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4539252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03">
          <w:marLeft w:val="0"/>
          <w:marRight w:val="0"/>
          <w:marTop w:val="0"/>
          <w:marBottom w:val="0"/>
          <w:divBdr>
            <w:top w:val="none" w:sz="0" w:space="0" w:color="auto"/>
            <w:left w:val="none" w:sz="0" w:space="0" w:color="auto"/>
            <w:bottom w:val="none" w:sz="0" w:space="0" w:color="auto"/>
            <w:right w:val="none" w:sz="0" w:space="0" w:color="auto"/>
          </w:divBdr>
        </w:div>
      </w:divsChild>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6557942">
      <w:bodyDiv w:val="1"/>
      <w:marLeft w:val="0"/>
      <w:marRight w:val="0"/>
      <w:marTop w:val="0"/>
      <w:marBottom w:val="0"/>
      <w:divBdr>
        <w:top w:val="none" w:sz="0" w:space="0" w:color="auto"/>
        <w:left w:val="none" w:sz="0" w:space="0" w:color="auto"/>
        <w:bottom w:val="none" w:sz="0" w:space="0" w:color="auto"/>
        <w:right w:val="none" w:sz="0" w:space="0" w:color="auto"/>
      </w:divBdr>
      <w:divsChild>
        <w:div w:id="1568493554">
          <w:marLeft w:val="0"/>
          <w:marRight w:val="0"/>
          <w:marTop w:val="0"/>
          <w:marBottom w:val="0"/>
          <w:divBdr>
            <w:top w:val="none" w:sz="0" w:space="0" w:color="auto"/>
            <w:left w:val="none" w:sz="0" w:space="0" w:color="auto"/>
            <w:bottom w:val="none" w:sz="0" w:space="0" w:color="auto"/>
            <w:right w:val="none" w:sz="0" w:space="0" w:color="auto"/>
          </w:divBdr>
        </w:div>
      </w:divsChild>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5122508">
      <w:bodyDiv w:val="1"/>
      <w:marLeft w:val="0"/>
      <w:marRight w:val="0"/>
      <w:marTop w:val="0"/>
      <w:marBottom w:val="0"/>
      <w:divBdr>
        <w:top w:val="none" w:sz="0" w:space="0" w:color="auto"/>
        <w:left w:val="none" w:sz="0" w:space="0" w:color="auto"/>
        <w:bottom w:val="none" w:sz="0" w:space="0" w:color="auto"/>
        <w:right w:val="none" w:sz="0" w:space="0" w:color="auto"/>
      </w:divBdr>
      <w:divsChild>
        <w:div w:id="1620646494">
          <w:marLeft w:val="0"/>
          <w:marRight w:val="0"/>
          <w:marTop w:val="0"/>
          <w:marBottom w:val="0"/>
          <w:divBdr>
            <w:top w:val="none" w:sz="0" w:space="0" w:color="auto"/>
            <w:left w:val="none" w:sz="0" w:space="0" w:color="auto"/>
            <w:bottom w:val="none" w:sz="0" w:space="0" w:color="auto"/>
            <w:right w:val="none" w:sz="0" w:space="0" w:color="auto"/>
          </w:divBdr>
        </w:div>
      </w:divsChild>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79214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5587">
          <w:marLeft w:val="0"/>
          <w:marRight w:val="0"/>
          <w:marTop w:val="0"/>
          <w:marBottom w:val="0"/>
          <w:divBdr>
            <w:top w:val="none" w:sz="0" w:space="0" w:color="auto"/>
            <w:left w:val="none" w:sz="0" w:space="0" w:color="auto"/>
            <w:bottom w:val="none" w:sz="0" w:space="0" w:color="auto"/>
            <w:right w:val="none" w:sz="0" w:space="0" w:color="auto"/>
          </w:divBdr>
        </w:div>
      </w:divsChild>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3154598">
      <w:bodyDiv w:val="1"/>
      <w:marLeft w:val="0"/>
      <w:marRight w:val="0"/>
      <w:marTop w:val="0"/>
      <w:marBottom w:val="0"/>
      <w:divBdr>
        <w:top w:val="none" w:sz="0" w:space="0" w:color="auto"/>
        <w:left w:val="none" w:sz="0" w:space="0" w:color="auto"/>
        <w:bottom w:val="none" w:sz="0" w:space="0" w:color="auto"/>
        <w:right w:val="none" w:sz="0" w:space="0" w:color="auto"/>
      </w:divBdr>
      <w:divsChild>
        <w:div w:id="2123105185">
          <w:marLeft w:val="0"/>
          <w:marRight w:val="0"/>
          <w:marTop w:val="0"/>
          <w:marBottom w:val="0"/>
          <w:divBdr>
            <w:top w:val="none" w:sz="0" w:space="0" w:color="auto"/>
            <w:left w:val="none" w:sz="0" w:space="0" w:color="auto"/>
            <w:bottom w:val="none" w:sz="0" w:space="0" w:color="auto"/>
            <w:right w:val="none" w:sz="0" w:space="0" w:color="auto"/>
          </w:divBdr>
        </w:div>
      </w:divsChild>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89745482">
      <w:bodyDiv w:val="1"/>
      <w:marLeft w:val="0"/>
      <w:marRight w:val="0"/>
      <w:marTop w:val="0"/>
      <w:marBottom w:val="0"/>
      <w:divBdr>
        <w:top w:val="none" w:sz="0" w:space="0" w:color="auto"/>
        <w:left w:val="none" w:sz="0" w:space="0" w:color="auto"/>
        <w:bottom w:val="none" w:sz="0" w:space="0" w:color="auto"/>
        <w:right w:val="none" w:sz="0" w:space="0" w:color="auto"/>
      </w:divBdr>
      <w:divsChild>
        <w:div w:id="1605649858">
          <w:marLeft w:val="0"/>
          <w:marRight w:val="0"/>
          <w:marTop w:val="0"/>
          <w:marBottom w:val="0"/>
          <w:divBdr>
            <w:top w:val="none" w:sz="0" w:space="0" w:color="auto"/>
            <w:left w:val="none" w:sz="0" w:space="0" w:color="auto"/>
            <w:bottom w:val="none" w:sz="0" w:space="0" w:color="auto"/>
            <w:right w:val="none" w:sz="0" w:space="0" w:color="auto"/>
          </w:divBdr>
        </w:div>
      </w:divsChild>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308928">
      <w:bodyDiv w:val="1"/>
      <w:marLeft w:val="0"/>
      <w:marRight w:val="0"/>
      <w:marTop w:val="0"/>
      <w:marBottom w:val="0"/>
      <w:divBdr>
        <w:top w:val="none" w:sz="0" w:space="0" w:color="auto"/>
        <w:left w:val="none" w:sz="0" w:space="0" w:color="auto"/>
        <w:bottom w:val="none" w:sz="0" w:space="0" w:color="auto"/>
        <w:right w:val="none" w:sz="0" w:space="0" w:color="auto"/>
      </w:divBdr>
      <w:divsChild>
        <w:div w:id="81607746">
          <w:marLeft w:val="0"/>
          <w:marRight w:val="0"/>
          <w:marTop w:val="0"/>
          <w:marBottom w:val="0"/>
          <w:divBdr>
            <w:top w:val="none" w:sz="0" w:space="0" w:color="auto"/>
            <w:left w:val="none" w:sz="0" w:space="0" w:color="auto"/>
            <w:bottom w:val="none" w:sz="0" w:space="0" w:color="auto"/>
            <w:right w:val="none" w:sz="0" w:space="0" w:color="auto"/>
          </w:divBdr>
        </w:div>
      </w:divsChild>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65633965">
      <w:bodyDiv w:val="1"/>
      <w:marLeft w:val="0"/>
      <w:marRight w:val="0"/>
      <w:marTop w:val="0"/>
      <w:marBottom w:val="0"/>
      <w:divBdr>
        <w:top w:val="none" w:sz="0" w:space="0" w:color="auto"/>
        <w:left w:val="none" w:sz="0" w:space="0" w:color="auto"/>
        <w:bottom w:val="none" w:sz="0" w:space="0" w:color="auto"/>
        <w:right w:val="none" w:sz="0" w:space="0" w:color="auto"/>
      </w:divBdr>
      <w:divsChild>
        <w:div w:id="16012571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06389">
      <w:bodyDiv w:val="1"/>
      <w:marLeft w:val="0"/>
      <w:marRight w:val="0"/>
      <w:marTop w:val="0"/>
      <w:marBottom w:val="0"/>
      <w:divBdr>
        <w:top w:val="none" w:sz="0" w:space="0" w:color="auto"/>
        <w:left w:val="none" w:sz="0" w:space="0" w:color="auto"/>
        <w:bottom w:val="none" w:sz="0" w:space="0" w:color="auto"/>
        <w:right w:val="none" w:sz="0" w:space="0" w:color="auto"/>
      </w:divBdr>
      <w:divsChild>
        <w:div w:id="260722145">
          <w:marLeft w:val="0"/>
          <w:marRight w:val="0"/>
          <w:marTop w:val="0"/>
          <w:marBottom w:val="0"/>
          <w:divBdr>
            <w:top w:val="none" w:sz="0" w:space="0" w:color="auto"/>
            <w:left w:val="none" w:sz="0" w:space="0" w:color="auto"/>
            <w:bottom w:val="none" w:sz="0" w:space="0" w:color="auto"/>
            <w:right w:val="none" w:sz="0" w:space="0" w:color="auto"/>
          </w:divBdr>
        </w:div>
      </w:divsChild>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150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0398">
          <w:marLeft w:val="0"/>
          <w:marRight w:val="0"/>
          <w:marTop w:val="0"/>
          <w:marBottom w:val="0"/>
          <w:divBdr>
            <w:top w:val="none" w:sz="0" w:space="0" w:color="auto"/>
            <w:left w:val="none" w:sz="0" w:space="0" w:color="auto"/>
            <w:bottom w:val="none" w:sz="0" w:space="0" w:color="auto"/>
            <w:right w:val="none" w:sz="0" w:space="0" w:color="auto"/>
          </w:divBdr>
        </w:div>
      </w:divsChild>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79476132">
      <w:bodyDiv w:val="1"/>
      <w:marLeft w:val="0"/>
      <w:marRight w:val="0"/>
      <w:marTop w:val="0"/>
      <w:marBottom w:val="0"/>
      <w:divBdr>
        <w:top w:val="none" w:sz="0" w:space="0" w:color="auto"/>
        <w:left w:val="none" w:sz="0" w:space="0" w:color="auto"/>
        <w:bottom w:val="none" w:sz="0" w:space="0" w:color="auto"/>
        <w:right w:val="none" w:sz="0" w:space="0" w:color="auto"/>
      </w:divBdr>
      <w:divsChild>
        <w:div w:id="927543318">
          <w:marLeft w:val="0"/>
          <w:marRight w:val="0"/>
          <w:marTop w:val="0"/>
          <w:marBottom w:val="0"/>
          <w:divBdr>
            <w:top w:val="none" w:sz="0" w:space="0" w:color="auto"/>
            <w:left w:val="none" w:sz="0" w:space="0" w:color="auto"/>
            <w:bottom w:val="none" w:sz="0" w:space="0" w:color="auto"/>
            <w:right w:val="none" w:sz="0" w:space="0" w:color="auto"/>
          </w:divBdr>
        </w:div>
      </w:divsChild>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078442">
      <w:bodyDiv w:val="1"/>
      <w:marLeft w:val="0"/>
      <w:marRight w:val="0"/>
      <w:marTop w:val="0"/>
      <w:marBottom w:val="0"/>
      <w:divBdr>
        <w:top w:val="none" w:sz="0" w:space="0" w:color="auto"/>
        <w:left w:val="none" w:sz="0" w:space="0" w:color="auto"/>
        <w:bottom w:val="none" w:sz="0" w:space="0" w:color="auto"/>
        <w:right w:val="none" w:sz="0" w:space="0" w:color="auto"/>
      </w:divBdr>
      <w:divsChild>
        <w:div w:id="1768116299">
          <w:marLeft w:val="0"/>
          <w:marRight w:val="0"/>
          <w:marTop w:val="0"/>
          <w:marBottom w:val="0"/>
          <w:divBdr>
            <w:top w:val="none" w:sz="0" w:space="0" w:color="auto"/>
            <w:left w:val="none" w:sz="0" w:space="0" w:color="auto"/>
            <w:bottom w:val="none" w:sz="0" w:space="0" w:color="auto"/>
            <w:right w:val="none" w:sz="0" w:space="0" w:color="auto"/>
          </w:divBdr>
        </w:div>
      </w:divsChild>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68287307">
      <w:bodyDiv w:val="1"/>
      <w:marLeft w:val="0"/>
      <w:marRight w:val="0"/>
      <w:marTop w:val="0"/>
      <w:marBottom w:val="0"/>
      <w:divBdr>
        <w:top w:val="none" w:sz="0" w:space="0" w:color="auto"/>
        <w:left w:val="none" w:sz="0" w:space="0" w:color="auto"/>
        <w:bottom w:val="none" w:sz="0" w:space="0" w:color="auto"/>
        <w:right w:val="none" w:sz="0" w:space="0" w:color="auto"/>
      </w:divBdr>
      <w:divsChild>
        <w:div w:id="837116077">
          <w:marLeft w:val="0"/>
          <w:marRight w:val="0"/>
          <w:marTop w:val="0"/>
          <w:marBottom w:val="0"/>
          <w:divBdr>
            <w:top w:val="none" w:sz="0" w:space="0" w:color="auto"/>
            <w:left w:val="none" w:sz="0" w:space="0" w:color="auto"/>
            <w:bottom w:val="none" w:sz="0" w:space="0" w:color="auto"/>
            <w:right w:val="none" w:sz="0" w:space="0" w:color="auto"/>
          </w:divBdr>
        </w:div>
      </w:divsChild>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0838895">
      <w:bodyDiv w:val="1"/>
      <w:marLeft w:val="0"/>
      <w:marRight w:val="0"/>
      <w:marTop w:val="0"/>
      <w:marBottom w:val="0"/>
      <w:divBdr>
        <w:top w:val="none" w:sz="0" w:space="0" w:color="auto"/>
        <w:left w:val="none" w:sz="0" w:space="0" w:color="auto"/>
        <w:bottom w:val="none" w:sz="0" w:space="0" w:color="auto"/>
        <w:right w:val="none" w:sz="0" w:space="0" w:color="auto"/>
      </w:divBdr>
      <w:divsChild>
        <w:div w:id="1012688896">
          <w:marLeft w:val="0"/>
          <w:marRight w:val="0"/>
          <w:marTop w:val="0"/>
          <w:marBottom w:val="0"/>
          <w:divBdr>
            <w:top w:val="none" w:sz="0" w:space="0" w:color="auto"/>
            <w:left w:val="none" w:sz="0" w:space="0" w:color="auto"/>
            <w:bottom w:val="none" w:sz="0" w:space="0" w:color="auto"/>
            <w:right w:val="none" w:sz="0" w:space="0" w:color="auto"/>
          </w:divBdr>
        </w:div>
      </w:divsChild>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1801771">
      <w:bodyDiv w:val="1"/>
      <w:marLeft w:val="0"/>
      <w:marRight w:val="0"/>
      <w:marTop w:val="0"/>
      <w:marBottom w:val="0"/>
      <w:divBdr>
        <w:top w:val="none" w:sz="0" w:space="0" w:color="auto"/>
        <w:left w:val="none" w:sz="0" w:space="0" w:color="auto"/>
        <w:bottom w:val="none" w:sz="0" w:space="0" w:color="auto"/>
        <w:right w:val="none" w:sz="0" w:space="0" w:color="auto"/>
      </w:divBdr>
      <w:divsChild>
        <w:div w:id="649596762">
          <w:marLeft w:val="0"/>
          <w:marRight w:val="0"/>
          <w:marTop w:val="0"/>
          <w:marBottom w:val="0"/>
          <w:divBdr>
            <w:top w:val="none" w:sz="0" w:space="0" w:color="auto"/>
            <w:left w:val="none" w:sz="0" w:space="0" w:color="auto"/>
            <w:bottom w:val="none" w:sz="0" w:space="0" w:color="auto"/>
            <w:right w:val="none" w:sz="0" w:space="0" w:color="auto"/>
          </w:divBdr>
        </w:div>
      </w:divsChild>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59530235">
      <w:bodyDiv w:val="1"/>
      <w:marLeft w:val="0"/>
      <w:marRight w:val="0"/>
      <w:marTop w:val="0"/>
      <w:marBottom w:val="0"/>
      <w:divBdr>
        <w:top w:val="none" w:sz="0" w:space="0" w:color="auto"/>
        <w:left w:val="none" w:sz="0" w:space="0" w:color="auto"/>
        <w:bottom w:val="none" w:sz="0" w:space="0" w:color="auto"/>
        <w:right w:val="none" w:sz="0" w:space="0" w:color="auto"/>
      </w:divBdr>
      <w:divsChild>
        <w:div w:id="919488503">
          <w:marLeft w:val="0"/>
          <w:marRight w:val="0"/>
          <w:marTop w:val="0"/>
          <w:marBottom w:val="0"/>
          <w:divBdr>
            <w:top w:val="none" w:sz="0" w:space="0" w:color="auto"/>
            <w:left w:val="none" w:sz="0" w:space="0" w:color="auto"/>
            <w:bottom w:val="none" w:sz="0" w:space="0" w:color="auto"/>
            <w:right w:val="none" w:sz="0" w:space="0" w:color="auto"/>
          </w:divBdr>
        </w:div>
      </w:divsChild>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1692-C9F2-4F23-965B-35AA894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2840</TotalTime>
  <Pages>9</Pages>
  <Words>576</Words>
  <Characters>3284</Characters>
  <Application>Microsoft Office Word</Application>
  <DocSecurity>0</DocSecurity>
  <Lines>27</Lines>
  <Paragraphs>7</Paragraphs>
  <ScaleCrop>false</ScaleCrop>
  <Company>cicc</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54</cp:revision>
  <cp:lastPrinted>2014-12-12T08:51:00Z</cp:lastPrinted>
  <dcterms:created xsi:type="dcterms:W3CDTF">2017-02-09T08:52:00Z</dcterms:created>
  <dcterms:modified xsi:type="dcterms:W3CDTF">2017-07-31T09:02:00Z</dcterms:modified>
</cp:coreProperties>
</file>