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221565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221565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107.7pt;z-index:251657216" stroked="f">
            <v:textbox style="mso-next-textbox:#_x0000_s1028" inset="2mm,,2mm">
              <w:txbxContent>
                <w:p w:rsidR="009A34B0" w:rsidRPr="00015D10" w:rsidRDefault="009A34B0" w:rsidP="00015D1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Pr="00F1036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B74389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港口库存累积，甲醇供应压力增大</w:t>
                  </w:r>
                </w:p>
              </w:txbxContent>
            </v:textbox>
          </v:shape>
        </w:pict>
      </w:r>
      <w:r w:rsidRPr="00221565">
        <w:rPr>
          <w:rFonts w:ascii="宋体" w:hAnsi="宋体" w:cs="Arial"/>
          <w:szCs w:val="21"/>
        </w:rPr>
      </w:r>
      <w:r w:rsidRPr="00221565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9A34B0" w:rsidRPr="004B0519" w:rsidRDefault="009A34B0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              2017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8345A4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7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B85FA3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17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Default="00DD34A6" w:rsidP="00F81AB7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STXihei" w:hAnsi="STXihei" w:cs="STXihei"/>
          <w:color w:val="000000"/>
          <w:kern w:val="0"/>
          <w:szCs w:val="21"/>
        </w:rPr>
      </w:pPr>
      <w:r w:rsidRPr="00E26E25">
        <w:rPr>
          <w:rFonts w:hint="eastAsia"/>
          <w:szCs w:val="21"/>
        </w:rPr>
        <w:t>本周甲醇</w:t>
      </w:r>
      <w:r w:rsidR="00535210">
        <w:rPr>
          <w:rFonts w:hint="eastAsia"/>
          <w:szCs w:val="21"/>
        </w:rPr>
        <w:t>高位盘整</w:t>
      </w:r>
      <w:r w:rsidR="008E0289" w:rsidRPr="00E26E25">
        <w:rPr>
          <w:rFonts w:hint="eastAsia"/>
          <w:szCs w:val="21"/>
        </w:rPr>
        <w:t>。</w:t>
      </w:r>
      <w:r w:rsidR="003205D8" w:rsidRPr="00E26E25">
        <w:rPr>
          <w:rFonts w:hint="eastAsia"/>
          <w:szCs w:val="21"/>
        </w:rPr>
        <w:t>1709</w:t>
      </w:r>
      <w:r w:rsidR="003205D8" w:rsidRPr="00E26E25">
        <w:rPr>
          <w:rFonts w:hint="eastAsia"/>
          <w:szCs w:val="21"/>
        </w:rPr>
        <w:t>合约</w:t>
      </w:r>
      <w:r w:rsidR="00FA3E4C" w:rsidRPr="00E26E25">
        <w:rPr>
          <w:rFonts w:hint="eastAsia"/>
          <w:szCs w:val="21"/>
        </w:rPr>
        <w:t>开盘</w:t>
      </w:r>
      <w:r w:rsidR="007F3E1D" w:rsidRPr="00E26E25">
        <w:rPr>
          <w:rFonts w:hint="eastAsia"/>
          <w:szCs w:val="21"/>
        </w:rPr>
        <w:t>2</w:t>
      </w:r>
      <w:r w:rsidR="00535210">
        <w:rPr>
          <w:rFonts w:hint="eastAsia"/>
          <w:szCs w:val="21"/>
        </w:rPr>
        <w:t>47</w:t>
      </w:r>
      <w:r w:rsidR="0004317E" w:rsidRPr="00E26E25">
        <w:rPr>
          <w:rFonts w:hint="eastAsia"/>
          <w:szCs w:val="21"/>
        </w:rPr>
        <w:t>9</w:t>
      </w:r>
      <w:r w:rsidR="00FA3E4C" w:rsidRPr="00E26E25">
        <w:rPr>
          <w:rFonts w:hint="eastAsia"/>
          <w:szCs w:val="21"/>
        </w:rPr>
        <w:t>，周最高</w:t>
      </w:r>
      <w:r w:rsidR="00804C21" w:rsidRPr="00E26E25">
        <w:rPr>
          <w:rFonts w:hint="eastAsia"/>
          <w:szCs w:val="21"/>
        </w:rPr>
        <w:t>2</w:t>
      </w:r>
      <w:r w:rsidR="00535210">
        <w:rPr>
          <w:rFonts w:hint="eastAsia"/>
          <w:szCs w:val="21"/>
        </w:rPr>
        <w:t>524</w:t>
      </w:r>
      <w:r w:rsidR="00FA3E4C" w:rsidRPr="00E26E25">
        <w:rPr>
          <w:rFonts w:hint="eastAsia"/>
          <w:szCs w:val="21"/>
        </w:rPr>
        <w:t>，最低</w:t>
      </w:r>
      <w:r w:rsidR="007F3E1D" w:rsidRPr="00E26E25">
        <w:rPr>
          <w:rFonts w:hint="eastAsia"/>
          <w:szCs w:val="21"/>
        </w:rPr>
        <w:t>2</w:t>
      </w:r>
      <w:r w:rsidR="00535210">
        <w:rPr>
          <w:rFonts w:hint="eastAsia"/>
          <w:szCs w:val="21"/>
        </w:rPr>
        <w:t>432</w:t>
      </w:r>
      <w:r w:rsidR="00FA3E4C" w:rsidRPr="00E26E25">
        <w:rPr>
          <w:rFonts w:hint="eastAsia"/>
          <w:szCs w:val="21"/>
        </w:rPr>
        <w:t>，收盘</w:t>
      </w:r>
      <w:r w:rsidR="007F3E1D" w:rsidRPr="00E26E25">
        <w:rPr>
          <w:rFonts w:hint="eastAsia"/>
          <w:szCs w:val="21"/>
        </w:rPr>
        <w:t>2</w:t>
      </w:r>
      <w:r w:rsidR="00535210">
        <w:rPr>
          <w:rFonts w:hint="eastAsia"/>
          <w:szCs w:val="21"/>
        </w:rPr>
        <w:t>484</w:t>
      </w:r>
      <w:r w:rsidR="002516D0" w:rsidRPr="00E26E25">
        <w:rPr>
          <w:rFonts w:hint="eastAsia"/>
          <w:szCs w:val="21"/>
        </w:rPr>
        <w:t>，较上周</w:t>
      </w:r>
      <w:r w:rsidR="008E0289" w:rsidRPr="00E26E25">
        <w:rPr>
          <w:rFonts w:hint="eastAsia"/>
          <w:szCs w:val="21"/>
        </w:rPr>
        <w:t>涨</w:t>
      </w:r>
      <w:r w:rsidR="00535210">
        <w:rPr>
          <w:rFonts w:hint="eastAsia"/>
          <w:szCs w:val="21"/>
        </w:rPr>
        <w:t>2</w:t>
      </w:r>
      <w:r w:rsidR="002516D0" w:rsidRPr="00E26E25">
        <w:rPr>
          <w:rFonts w:hint="eastAsia"/>
          <w:szCs w:val="21"/>
        </w:rPr>
        <w:t>点</w:t>
      </w:r>
      <w:r w:rsidR="003205D8" w:rsidRPr="00E26E25">
        <w:rPr>
          <w:rFonts w:hint="eastAsia"/>
          <w:szCs w:val="21"/>
        </w:rPr>
        <w:t>。</w:t>
      </w:r>
      <w:r w:rsidR="00FA3E4C" w:rsidRPr="00E26E25">
        <w:rPr>
          <w:rFonts w:hint="eastAsia"/>
          <w:szCs w:val="21"/>
        </w:rPr>
        <w:t>成交</w:t>
      </w:r>
      <w:r w:rsidR="00535210">
        <w:rPr>
          <w:rFonts w:hint="eastAsia"/>
          <w:szCs w:val="21"/>
        </w:rPr>
        <w:t>543</w:t>
      </w:r>
      <w:r w:rsidR="0004317E" w:rsidRPr="00E26E25">
        <w:rPr>
          <w:rFonts w:hint="eastAsia"/>
          <w:szCs w:val="21"/>
        </w:rPr>
        <w:t>.9</w:t>
      </w:r>
      <w:r w:rsidR="00804C21" w:rsidRPr="00E26E25">
        <w:rPr>
          <w:rFonts w:hint="eastAsia"/>
          <w:szCs w:val="21"/>
        </w:rPr>
        <w:t>万手，</w:t>
      </w:r>
      <w:r w:rsidR="0004317E" w:rsidRPr="00E26E25">
        <w:rPr>
          <w:rFonts w:hint="eastAsia"/>
          <w:szCs w:val="21"/>
        </w:rPr>
        <w:t>减</w:t>
      </w:r>
      <w:r w:rsidR="00535210">
        <w:rPr>
          <w:rFonts w:hint="eastAsia"/>
          <w:szCs w:val="21"/>
        </w:rPr>
        <w:t>32</w:t>
      </w:r>
      <w:r w:rsidR="00FA3E4C" w:rsidRPr="00E26E25">
        <w:rPr>
          <w:rFonts w:hint="eastAsia"/>
          <w:szCs w:val="21"/>
        </w:rPr>
        <w:t>万手，持仓</w:t>
      </w:r>
      <w:r w:rsidR="00535210">
        <w:rPr>
          <w:rFonts w:hint="eastAsia"/>
          <w:szCs w:val="21"/>
        </w:rPr>
        <w:t>77.5</w:t>
      </w:r>
      <w:r w:rsidR="00FA3E4C" w:rsidRPr="00E26E25">
        <w:rPr>
          <w:rFonts w:hint="eastAsia"/>
          <w:szCs w:val="21"/>
        </w:rPr>
        <w:t>万手，</w:t>
      </w:r>
      <w:r w:rsidR="00535210">
        <w:rPr>
          <w:rFonts w:hint="eastAsia"/>
          <w:szCs w:val="21"/>
        </w:rPr>
        <w:t>减</w:t>
      </w:r>
      <w:r w:rsidR="00535210">
        <w:rPr>
          <w:rFonts w:hint="eastAsia"/>
          <w:szCs w:val="21"/>
        </w:rPr>
        <w:t>1.9</w:t>
      </w:r>
      <w:r w:rsidR="00FA3E4C" w:rsidRPr="00E26E25">
        <w:rPr>
          <w:rFonts w:hint="eastAsia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B85FA3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B85FA3" w:rsidRDefault="00B85FA3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B85FA3" w:rsidRDefault="00B85FA3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2479</w:t>
            </w:r>
          </w:p>
        </w:tc>
        <w:tc>
          <w:tcPr>
            <w:tcW w:w="3438" w:type="dxa"/>
          </w:tcPr>
          <w:p w:rsidR="00B85FA3" w:rsidRDefault="00B85FA3" w:rsidP="008C23E1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2359</w:t>
            </w:r>
          </w:p>
        </w:tc>
      </w:tr>
      <w:tr w:rsidR="00B85FA3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B85FA3" w:rsidRDefault="00B85FA3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B85FA3" w:rsidRDefault="00B85FA3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2524</w:t>
            </w:r>
          </w:p>
        </w:tc>
        <w:tc>
          <w:tcPr>
            <w:tcW w:w="3438" w:type="dxa"/>
          </w:tcPr>
          <w:p w:rsidR="00B85FA3" w:rsidRDefault="00B85FA3" w:rsidP="008C23E1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2485</w:t>
            </w:r>
          </w:p>
        </w:tc>
      </w:tr>
      <w:tr w:rsidR="00B85FA3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B85FA3" w:rsidRDefault="00B85FA3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B85FA3" w:rsidRDefault="00B85FA3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2432</w:t>
            </w:r>
          </w:p>
        </w:tc>
        <w:tc>
          <w:tcPr>
            <w:tcW w:w="3438" w:type="dxa"/>
          </w:tcPr>
          <w:p w:rsidR="00B85FA3" w:rsidRDefault="00B85FA3" w:rsidP="008C23E1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2351</w:t>
            </w:r>
          </w:p>
        </w:tc>
      </w:tr>
      <w:tr w:rsidR="00B85FA3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B85FA3" w:rsidRDefault="00B85FA3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B85FA3" w:rsidRDefault="00B85FA3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2484</w:t>
            </w:r>
          </w:p>
        </w:tc>
        <w:tc>
          <w:tcPr>
            <w:tcW w:w="3438" w:type="dxa"/>
          </w:tcPr>
          <w:p w:rsidR="00B85FA3" w:rsidRDefault="00B85FA3" w:rsidP="008C23E1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2482</w:t>
            </w:r>
          </w:p>
        </w:tc>
      </w:tr>
      <w:tr w:rsidR="00B85FA3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B85FA3" w:rsidRDefault="00B85FA3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B85FA3" w:rsidRDefault="00B85FA3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543.9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B85FA3" w:rsidRDefault="00B85FA3" w:rsidP="008C23E1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575.9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B85FA3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B85FA3" w:rsidRDefault="00B85FA3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B85FA3" w:rsidRDefault="00B85FA3" w:rsidP="009E603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77.5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B85FA3" w:rsidRDefault="00B85FA3" w:rsidP="008C23E1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79.4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217FA2" w:rsidRDefault="00964CCA" w:rsidP="00217FA2">
      <w:pPr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8D7629" w:rsidRPr="00217FA2" w:rsidRDefault="00B85FA3" w:rsidP="00217FA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76641" cy="3234906"/>
            <wp:effectExtent l="19050" t="0" r="359" b="0"/>
            <wp:docPr id="17" name="图片 17" descr="C:\Users\Administrator\AppData\Roaming\Tencent\Users\276171027\QQ\WinTemp\RichOle\GRQ9%5146JE1KLS%BO)AX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AppData\Roaming\Tencent\Users\276171027\QQ\WinTemp\RichOle\GRQ9%5146JE1KLS%BO)AX5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23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964CCA" w:rsidRDefault="00964CCA" w:rsidP="00964CCA">
      <w:pPr>
        <w:jc w:val="left"/>
        <w:rPr>
          <w:rFonts w:ascii="黑体" w:eastAsia="黑体" w:hAnsi="宋体"/>
          <w:bCs/>
          <w:color w:val="000000"/>
          <w:sz w:val="24"/>
        </w:rPr>
      </w:pPr>
      <w:r w:rsidRPr="00B52C0E">
        <w:rPr>
          <w:rFonts w:ascii="STXihei" w:hAnsi="STXihei" w:cs="STXihei" w:hint="eastAsia"/>
          <w:color w:val="000000"/>
          <w:kern w:val="0"/>
          <w:szCs w:val="21"/>
        </w:rPr>
        <w:t>Brent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原油</w:t>
      </w:r>
      <w:r>
        <w:rPr>
          <w:rFonts w:ascii="黑体" w:eastAsia="黑体" w:hAnsi="宋体" w:hint="eastAsia"/>
          <w:bCs/>
          <w:color w:val="000000"/>
          <w:sz w:val="24"/>
        </w:rPr>
        <w:t>：</w:t>
      </w:r>
    </w:p>
    <w:p w:rsidR="00964CCA" w:rsidRPr="00964CCA" w:rsidRDefault="00535210" w:rsidP="00964CC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329992" cy="2544793"/>
            <wp:effectExtent l="19050" t="0" r="0" b="0"/>
            <wp:docPr id="18" name="图片 18" descr="C:\Users\Administrator\AppData\Roaming\Tencent\Users\276171027\QQ\WinTemp\RichOle\K]5IB5%HLSLRP}VOXDFK8(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AppData\Roaming\Tencent\Users\276171027\QQ\WinTemp\RichOle\K]5IB5%HLSLRP}VOXDFK8(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929" cy="254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CA" w:rsidRDefault="00B52C0E" w:rsidP="00B52C0E">
      <w:pPr>
        <w:jc w:val="right"/>
        <w:rPr>
          <w:rFonts w:ascii="STXihei" w:hAnsi="STXihei" w:cs="STXihei"/>
          <w:color w:val="000000"/>
          <w:kern w:val="0"/>
          <w:szCs w:val="21"/>
        </w:rPr>
      </w:pPr>
      <w:r w:rsidRPr="00B52C0E">
        <w:rPr>
          <w:rFonts w:ascii="STXihei" w:hAnsi="STXihei" w:cs="STXihei" w:hint="eastAsia"/>
          <w:color w:val="000000"/>
          <w:kern w:val="0"/>
          <w:szCs w:val="21"/>
        </w:rPr>
        <w:t>数据来源：文华财经，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通惠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B52C0E" w:rsidRPr="00E26E25" w:rsidRDefault="00535210" w:rsidP="00E26E25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本周油价整体呈现跌后反弹走势。虽然美国原油库存连续两周出现较大幅度的下滑，但原油产量的上涨限制了油价的涨幅。</w:t>
      </w:r>
      <w:r>
        <w:rPr>
          <w:szCs w:val="21"/>
        </w:rPr>
        <w:t>EIA</w:t>
      </w:r>
      <w:r>
        <w:rPr>
          <w:szCs w:val="21"/>
        </w:rPr>
        <w:t>短期能源报告和</w:t>
      </w:r>
      <w:r>
        <w:rPr>
          <w:szCs w:val="21"/>
        </w:rPr>
        <w:t>OPEC</w:t>
      </w:r>
      <w:r>
        <w:rPr>
          <w:szCs w:val="21"/>
        </w:rPr>
        <w:t>月报相继出炉，结果喜忧参半。虽然</w:t>
      </w:r>
      <w:r>
        <w:rPr>
          <w:szCs w:val="21"/>
        </w:rPr>
        <w:t>EIA</w:t>
      </w:r>
      <w:r>
        <w:rPr>
          <w:szCs w:val="21"/>
        </w:rPr>
        <w:t>下调了美国原油产量预期，但需求端依旧疲软，未有任何改观迹象，加之</w:t>
      </w:r>
      <w:r>
        <w:rPr>
          <w:szCs w:val="21"/>
        </w:rPr>
        <w:t>OPEC</w:t>
      </w:r>
      <w:r>
        <w:rPr>
          <w:szCs w:val="21"/>
        </w:rPr>
        <w:t>增加产量，特别是沙特首次超过减产份额，这令市场更加担忧供应过剩，且市场怀疑延长减产能否顺利进行。除此之外，尼日利亚、利比亚原油产量复苏继续施压油价。</w:t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4A1559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4A1559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649169" cy="2518913"/>
            <wp:effectExtent l="1905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7401" cy="251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277541" w:rsidRPr="002D4AF6" w:rsidRDefault="002A5D1E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本周</w:t>
      </w:r>
      <w:r w:rsidR="00DC5634">
        <w:rPr>
          <w:rFonts w:ascii="STXihei" w:hAnsi="STXihei" w:cs="STXihei" w:hint="eastAsia"/>
          <w:color w:val="000000"/>
          <w:kern w:val="0"/>
          <w:szCs w:val="21"/>
        </w:rPr>
        <w:t>动力煤</w:t>
      </w:r>
      <w:r w:rsidR="00213F4C">
        <w:rPr>
          <w:rFonts w:ascii="STXihei" w:hAnsi="STXihei" w:cs="STXihei" w:hint="eastAsia"/>
          <w:color w:val="000000"/>
          <w:kern w:val="0"/>
          <w:szCs w:val="21"/>
        </w:rPr>
        <w:t>延续反弹</w:t>
      </w:r>
      <w:r w:rsidR="009E1B42">
        <w:rPr>
          <w:rFonts w:ascii="STXihei" w:hAnsi="STXihei" w:cs="STXihei" w:hint="eastAsia"/>
          <w:color w:val="000000"/>
          <w:kern w:val="0"/>
          <w:szCs w:val="21"/>
        </w:rPr>
        <w:t>，</w:t>
      </w:r>
      <w:r w:rsidR="002403E6">
        <w:rPr>
          <w:rFonts w:ascii="STXihei" w:hAnsi="STXihei" w:cs="STXihei" w:hint="eastAsia"/>
          <w:color w:val="000000"/>
          <w:kern w:val="0"/>
          <w:szCs w:val="21"/>
        </w:rPr>
        <w:t>原料端</w:t>
      </w:r>
      <w:r w:rsidR="00277541">
        <w:rPr>
          <w:rFonts w:ascii="STXihei" w:hAnsi="STXihei" w:cs="STXihei" w:hint="eastAsia"/>
          <w:color w:val="000000"/>
          <w:kern w:val="0"/>
          <w:szCs w:val="21"/>
        </w:rPr>
        <w:t>对甲醇支撑力度</w:t>
      </w:r>
      <w:r w:rsidR="00A95223">
        <w:rPr>
          <w:rFonts w:ascii="STXihei" w:hAnsi="STXihei" w:cs="STXihei" w:hint="eastAsia"/>
          <w:color w:val="000000"/>
          <w:kern w:val="0"/>
          <w:szCs w:val="21"/>
        </w:rPr>
        <w:t>增强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4A1559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4A1559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329992" cy="2766796"/>
            <wp:effectExtent l="19050" t="0" r="0" b="0"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28309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213F4C" w:rsidRDefault="004A1559" w:rsidP="009E1B42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，沿海甲醇市场蹒跚上行后转弱。可售货源相对集中和期货继续稳固冲高，卖方整体控制出货节奏低价难寻，但无奈下游实质性的需求不济，场内其他二三手商家买涨行为依然不足，高价缺乏明显放量支撑。周后期，虽然有货者挺价意愿犹存，但苦于高位始终出货遇阻，上推力量极为薄弱。少数</w:t>
      </w:r>
      <w:r>
        <w:rPr>
          <w:szCs w:val="21"/>
        </w:rPr>
        <w:t>“</w:t>
      </w:r>
      <w:r>
        <w:rPr>
          <w:szCs w:val="21"/>
        </w:rPr>
        <w:t>激进</w:t>
      </w:r>
      <w:r>
        <w:rPr>
          <w:szCs w:val="21"/>
        </w:rPr>
        <w:t>”</w:t>
      </w:r>
      <w:r>
        <w:rPr>
          <w:szCs w:val="21"/>
        </w:rPr>
        <w:t>分子积极获利回吐避险，市场重心明显回撤。场内谨慎和观望心态并存。纸货方面，换货以及逢高排货为主。</w:t>
      </w:r>
    </w:p>
    <w:p w:rsidR="009E1B42" w:rsidRDefault="004A1559" w:rsidP="009E1B42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szCs w:val="21"/>
        </w:rPr>
        <w:t>本周内地甲醇市场稳中有升。周初虽西北主产区企业继续小幅推涨，但主力下游消费市场环保承压，开工下滑致使需求疲软，交投上推受阻。周中主力烯烃大量外采对区域价格起到一定的支持作用，而相对较高的港口、期货价格也使得关中到华东的套利窗口再度打开，成交也随之回暖。周后期下游仍处环保高压，烯烃外采继续支持主产区价格，加之主产区企业库存不高、部分装置近期停车检修等因素致使内地市场价格暂时稳定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4A1559" w:rsidTr="00443C09">
        <w:trPr>
          <w:cnfStyle w:val="000000100000"/>
        </w:trPr>
        <w:tc>
          <w:tcPr>
            <w:cnfStyle w:val="001000000000"/>
            <w:tcW w:w="3474" w:type="dxa"/>
          </w:tcPr>
          <w:p w:rsidR="004A1559" w:rsidRDefault="004A155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4A1559" w:rsidRDefault="00DF6638" w:rsidP="002403E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2465</w:t>
            </w:r>
          </w:p>
        </w:tc>
        <w:tc>
          <w:tcPr>
            <w:tcW w:w="3474" w:type="dxa"/>
          </w:tcPr>
          <w:p w:rsidR="004A1559" w:rsidRDefault="004A1559" w:rsidP="008C23E1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2465</w:t>
            </w:r>
          </w:p>
        </w:tc>
      </w:tr>
      <w:tr w:rsidR="004A1559" w:rsidTr="00443C09">
        <w:trPr>
          <w:cnfStyle w:val="000000010000"/>
        </w:trPr>
        <w:tc>
          <w:tcPr>
            <w:cnfStyle w:val="001000000000"/>
            <w:tcW w:w="3474" w:type="dxa"/>
          </w:tcPr>
          <w:p w:rsidR="004A1559" w:rsidRDefault="004A155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4A1559" w:rsidRDefault="00DF6638" w:rsidP="00443C09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2540</w:t>
            </w:r>
          </w:p>
        </w:tc>
        <w:tc>
          <w:tcPr>
            <w:tcW w:w="3474" w:type="dxa"/>
          </w:tcPr>
          <w:p w:rsidR="004A1559" w:rsidRDefault="004A1559" w:rsidP="008C23E1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2530</w:t>
            </w:r>
          </w:p>
        </w:tc>
      </w:tr>
      <w:tr w:rsidR="004A1559" w:rsidTr="00443C09">
        <w:trPr>
          <w:cnfStyle w:val="000000100000"/>
        </w:trPr>
        <w:tc>
          <w:tcPr>
            <w:cnfStyle w:val="001000000000"/>
            <w:tcW w:w="3474" w:type="dxa"/>
          </w:tcPr>
          <w:p w:rsidR="004A1559" w:rsidRDefault="004A155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4A1559" w:rsidRDefault="00DF6638" w:rsidP="00507C0C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2420</w:t>
            </w:r>
          </w:p>
        </w:tc>
        <w:tc>
          <w:tcPr>
            <w:tcW w:w="3474" w:type="dxa"/>
          </w:tcPr>
          <w:p w:rsidR="004A1559" w:rsidRDefault="004A1559" w:rsidP="008C23E1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2410</w:t>
            </w:r>
          </w:p>
        </w:tc>
      </w:tr>
      <w:tr w:rsidR="004A1559" w:rsidTr="00443C09">
        <w:trPr>
          <w:cnfStyle w:val="000000010000"/>
        </w:trPr>
        <w:tc>
          <w:tcPr>
            <w:cnfStyle w:val="001000000000"/>
            <w:tcW w:w="3474" w:type="dxa"/>
          </w:tcPr>
          <w:p w:rsidR="004A1559" w:rsidRDefault="004A155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4A1559" w:rsidRDefault="00DF6638" w:rsidP="00507C0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2220</w:t>
            </w:r>
          </w:p>
        </w:tc>
        <w:tc>
          <w:tcPr>
            <w:tcW w:w="3474" w:type="dxa"/>
          </w:tcPr>
          <w:p w:rsidR="004A1559" w:rsidRDefault="004A1559" w:rsidP="008C23E1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2165</w:t>
            </w:r>
          </w:p>
        </w:tc>
      </w:tr>
      <w:tr w:rsidR="004A1559" w:rsidTr="00443C09">
        <w:trPr>
          <w:cnfStyle w:val="000000100000"/>
        </w:trPr>
        <w:tc>
          <w:tcPr>
            <w:cnfStyle w:val="001000000000"/>
            <w:tcW w:w="3474" w:type="dxa"/>
          </w:tcPr>
          <w:p w:rsidR="004A1559" w:rsidRDefault="004A155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内蒙古</w:t>
            </w:r>
          </w:p>
        </w:tc>
        <w:tc>
          <w:tcPr>
            <w:tcW w:w="3474" w:type="dxa"/>
          </w:tcPr>
          <w:p w:rsidR="004A1559" w:rsidRDefault="00DF6638" w:rsidP="0045024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1970</w:t>
            </w:r>
          </w:p>
        </w:tc>
        <w:tc>
          <w:tcPr>
            <w:tcW w:w="3474" w:type="dxa"/>
          </w:tcPr>
          <w:p w:rsidR="004A1559" w:rsidRDefault="004A1559" w:rsidP="008C23E1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1950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lastRenderedPageBreak/>
        <w:t>从区域价差以及基差情况来看，</w:t>
      </w:r>
      <w:r w:rsidR="00567BBE">
        <w:rPr>
          <w:rFonts w:ascii="宋体" w:hAnsi="宋体" w:cs="Arial" w:hint="eastAsia"/>
          <w:kern w:val="0"/>
          <w:szCs w:val="21"/>
        </w:rPr>
        <w:t>江苏山东价差已经到了</w:t>
      </w:r>
      <w:r w:rsidR="00213F4C">
        <w:rPr>
          <w:rFonts w:ascii="宋体" w:hAnsi="宋体" w:cs="Arial" w:hint="eastAsia"/>
          <w:kern w:val="0"/>
          <w:szCs w:val="21"/>
        </w:rPr>
        <w:t>2</w:t>
      </w:r>
      <w:r w:rsidR="00567BBE">
        <w:rPr>
          <w:rFonts w:ascii="宋体" w:hAnsi="宋体" w:cs="Arial" w:hint="eastAsia"/>
          <w:kern w:val="0"/>
          <w:szCs w:val="21"/>
        </w:rPr>
        <w:t>00元以上</w:t>
      </w:r>
      <w:r w:rsidR="000C2E69">
        <w:rPr>
          <w:rFonts w:ascii="宋体" w:hAnsi="宋体" w:cs="Arial" w:hint="eastAsia"/>
          <w:kern w:val="0"/>
          <w:szCs w:val="21"/>
        </w:rPr>
        <w:t>，</w:t>
      </w:r>
      <w:r w:rsidR="00C62DB2">
        <w:rPr>
          <w:rFonts w:ascii="宋体" w:hAnsi="宋体" w:cs="Arial" w:hint="eastAsia"/>
          <w:kern w:val="0"/>
          <w:szCs w:val="21"/>
        </w:rPr>
        <w:t>江苏内蒙价差也逐渐拉开，套利窗口打开，后期内地货源对港口可能产生冲击</w:t>
      </w:r>
      <w:r w:rsidR="00955AB4">
        <w:rPr>
          <w:rFonts w:ascii="宋体" w:hAnsi="宋体" w:cs="Arial" w:hint="eastAsia"/>
          <w:kern w:val="0"/>
          <w:szCs w:val="21"/>
        </w:rPr>
        <w:t>。从基差情况来看，</w:t>
      </w:r>
      <w:r w:rsidR="00213F4C">
        <w:rPr>
          <w:rFonts w:ascii="宋体" w:hAnsi="宋体" w:cs="Arial" w:hint="eastAsia"/>
          <w:kern w:val="0"/>
          <w:szCs w:val="21"/>
        </w:rPr>
        <w:t>近期基差走弱</w:t>
      </w:r>
      <w:r w:rsidR="00E92FE4">
        <w:rPr>
          <w:rFonts w:ascii="宋体" w:hAnsi="宋体" w:cs="Arial" w:hint="eastAsia"/>
          <w:kern w:val="0"/>
          <w:szCs w:val="21"/>
        </w:rPr>
        <w:t>，</w:t>
      </w:r>
      <w:r w:rsidR="00213F4C">
        <w:rPr>
          <w:rFonts w:ascii="宋体" w:hAnsi="宋体" w:cs="Arial" w:hint="eastAsia"/>
          <w:kern w:val="0"/>
          <w:szCs w:val="21"/>
        </w:rPr>
        <w:t>现货基本与期货平水</w:t>
      </w:r>
      <w:r w:rsidR="00B37C32">
        <w:rPr>
          <w:rFonts w:ascii="宋体" w:hAnsi="宋体" w:cs="Arial" w:hint="eastAsia"/>
          <w:kern w:val="0"/>
          <w:szCs w:val="21"/>
        </w:rPr>
        <w:t>。</w:t>
      </w:r>
    </w:p>
    <w:p w:rsidR="0029112E" w:rsidRDefault="00DF6638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DF6638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140210" cy="2759174"/>
            <wp:effectExtent l="19050" t="0" r="0" b="0"/>
            <wp:docPr id="9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8577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DF6638" w:rsidTr="00682AB2">
        <w:trPr>
          <w:cnfStyle w:val="000000100000"/>
        </w:trPr>
        <w:tc>
          <w:tcPr>
            <w:cnfStyle w:val="001000000000"/>
            <w:tcW w:w="3474" w:type="dxa"/>
          </w:tcPr>
          <w:p w:rsidR="00DF6638" w:rsidRDefault="00DF6638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3474" w:type="dxa"/>
          </w:tcPr>
          <w:p w:rsidR="00DF6638" w:rsidRDefault="00146FC0" w:rsidP="002821C5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35.95</w:t>
            </w:r>
          </w:p>
        </w:tc>
        <w:tc>
          <w:tcPr>
            <w:tcW w:w="3474" w:type="dxa"/>
          </w:tcPr>
          <w:p w:rsidR="00DF6638" w:rsidRDefault="00DF6638" w:rsidP="008C23E1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33.55</w:t>
            </w:r>
          </w:p>
        </w:tc>
      </w:tr>
      <w:tr w:rsidR="00DF6638" w:rsidTr="00682AB2">
        <w:trPr>
          <w:cnfStyle w:val="000000010000"/>
        </w:trPr>
        <w:tc>
          <w:tcPr>
            <w:cnfStyle w:val="001000000000"/>
            <w:tcW w:w="3474" w:type="dxa"/>
          </w:tcPr>
          <w:p w:rsidR="00DF6638" w:rsidRDefault="00DF6638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DF6638" w:rsidRDefault="00146FC0" w:rsidP="00FF40A9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9.3</w:t>
            </w:r>
          </w:p>
        </w:tc>
        <w:tc>
          <w:tcPr>
            <w:tcW w:w="3474" w:type="dxa"/>
          </w:tcPr>
          <w:p w:rsidR="00DF6638" w:rsidRDefault="00DF6638" w:rsidP="008C23E1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8.6</w:t>
            </w:r>
          </w:p>
        </w:tc>
      </w:tr>
      <w:tr w:rsidR="00DF6638" w:rsidTr="00682AB2">
        <w:trPr>
          <w:cnfStyle w:val="000000100000"/>
        </w:trPr>
        <w:tc>
          <w:tcPr>
            <w:cnfStyle w:val="001000000000"/>
            <w:tcW w:w="3474" w:type="dxa"/>
          </w:tcPr>
          <w:p w:rsidR="00DF6638" w:rsidRDefault="00DF6638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DF6638" w:rsidRDefault="00146FC0" w:rsidP="00C62DB2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21.09</w:t>
            </w:r>
          </w:p>
        </w:tc>
        <w:tc>
          <w:tcPr>
            <w:tcW w:w="3474" w:type="dxa"/>
          </w:tcPr>
          <w:p w:rsidR="00DF6638" w:rsidRDefault="00DF6638" w:rsidP="008C23E1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21.75</w:t>
            </w:r>
          </w:p>
        </w:tc>
      </w:tr>
      <w:tr w:rsidR="00DF6638" w:rsidTr="00682AB2">
        <w:trPr>
          <w:cnfStyle w:val="000000010000"/>
        </w:trPr>
        <w:tc>
          <w:tcPr>
            <w:cnfStyle w:val="001000000000"/>
            <w:tcW w:w="3474" w:type="dxa"/>
          </w:tcPr>
          <w:p w:rsidR="00DF6638" w:rsidRDefault="00DF6638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总计</w:t>
            </w:r>
          </w:p>
        </w:tc>
        <w:tc>
          <w:tcPr>
            <w:tcW w:w="3474" w:type="dxa"/>
          </w:tcPr>
          <w:p w:rsidR="00DF6638" w:rsidRDefault="00146FC0" w:rsidP="006661DD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66.34</w:t>
            </w:r>
          </w:p>
        </w:tc>
        <w:tc>
          <w:tcPr>
            <w:tcW w:w="3474" w:type="dxa"/>
          </w:tcPr>
          <w:p w:rsidR="00DF6638" w:rsidRDefault="00DF6638" w:rsidP="008C23E1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63.9</w:t>
            </w:r>
          </w:p>
        </w:tc>
      </w:tr>
    </w:tbl>
    <w:p w:rsidR="00443C09" w:rsidRDefault="00146FC0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146FC0">
        <w:rPr>
          <w:rFonts w:ascii="宋体" w:hAnsi="宋体" w:cs="Arial"/>
          <w:kern w:val="0"/>
          <w:szCs w:val="21"/>
        </w:rPr>
        <w:drawing>
          <wp:inline distT="0" distB="0" distL="0" distR="0">
            <wp:extent cx="6459388" cy="2424023"/>
            <wp:effectExtent l="19050" t="0" r="0" b="0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69110" cy="242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Pr="001D5409" w:rsidRDefault="00A60B0E" w:rsidP="00F57C9E">
      <w:pPr>
        <w:spacing w:line="360" w:lineRule="auto"/>
        <w:ind w:firstLineChars="200" w:firstLine="420"/>
        <w:rPr>
          <w:rFonts w:ascii="宋体" w:hAnsi="宋体"/>
          <w:bCs/>
          <w:color w:val="000000"/>
          <w:szCs w:val="21"/>
          <w:lang w:val="zh-CN"/>
        </w:rPr>
      </w:pPr>
      <w:r>
        <w:rPr>
          <w:rFonts w:hint="eastAsia"/>
          <w:szCs w:val="21"/>
        </w:rPr>
        <w:lastRenderedPageBreak/>
        <w:t>本周</w:t>
      </w:r>
      <w:r>
        <w:rPr>
          <w:szCs w:val="21"/>
        </w:rPr>
        <w:t>，</w:t>
      </w:r>
      <w:r w:rsidR="00146FC0">
        <w:rPr>
          <w:szCs w:val="21"/>
        </w:rPr>
        <w:t>日），江苏甲醇库存在</w:t>
      </w:r>
      <w:r w:rsidR="00146FC0">
        <w:rPr>
          <w:rFonts w:ascii="Calibri" w:hAnsi="Calibri" w:cs="Calibri"/>
          <w:szCs w:val="21"/>
        </w:rPr>
        <w:t>35.95</w:t>
      </w:r>
      <w:r w:rsidR="00146FC0">
        <w:rPr>
          <w:szCs w:val="21"/>
        </w:rPr>
        <w:t>万吨（不加连云港地区甲醇库存），较上周增加</w:t>
      </w:r>
      <w:r w:rsidR="00146FC0">
        <w:rPr>
          <w:rFonts w:ascii="Calibri" w:hAnsi="Calibri" w:cs="Calibri"/>
          <w:szCs w:val="21"/>
        </w:rPr>
        <w:t>2.40</w:t>
      </w:r>
      <w:r w:rsidR="00146FC0">
        <w:rPr>
          <w:szCs w:val="21"/>
        </w:rPr>
        <w:t>万吨，涨幅在</w:t>
      </w:r>
      <w:r w:rsidR="00146FC0">
        <w:rPr>
          <w:rFonts w:ascii="Calibri" w:hAnsi="Calibri" w:cs="Calibri"/>
          <w:szCs w:val="21"/>
        </w:rPr>
        <w:t>7.15%</w:t>
      </w:r>
      <w:r w:rsidR="00146FC0">
        <w:rPr>
          <w:szCs w:val="21"/>
        </w:rPr>
        <w:t>。其中太仓地区甲醇库存大幅增加至</w:t>
      </w:r>
      <w:r w:rsidR="00146FC0">
        <w:rPr>
          <w:rFonts w:ascii="Calibri" w:hAnsi="Calibri" w:cs="Calibri"/>
          <w:szCs w:val="21"/>
        </w:rPr>
        <w:t>11.60</w:t>
      </w:r>
      <w:r w:rsidR="00146FC0">
        <w:rPr>
          <w:szCs w:val="21"/>
        </w:rPr>
        <w:t>万吨，张家港地区走高至</w:t>
      </w:r>
      <w:r w:rsidR="00146FC0">
        <w:rPr>
          <w:rFonts w:ascii="Calibri" w:hAnsi="Calibri" w:cs="Calibri"/>
          <w:szCs w:val="21"/>
        </w:rPr>
        <w:t>8.70</w:t>
      </w:r>
      <w:r w:rsidR="00146FC0">
        <w:rPr>
          <w:szCs w:val="21"/>
        </w:rPr>
        <w:t>万吨，江阴地区库存在</w:t>
      </w:r>
      <w:r w:rsidR="00146FC0">
        <w:rPr>
          <w:rFonts w:ascii="Calibri" w:hAnsi="Calibri" w:cs="Calibri"/>
          <w:szCs w:val="21"/>
        </w:rPr>
        <w:t>2.20</w:t>
      </w:r>
      <w:r w:rsidR="00146FC0">
        <w:rPr>
          <w:szCs w:val="21"/>
        </w:rPr>
        <w:t>万吨，常州地区库存略有走高至</w:t>
      </w:r>
      <w:r w:rsidR="00146FC0">
        <w:rPr>
          <w:rFonts w:ascii="Calibri" w:hAnsi="Calibri" w:cs="Calibri"/>
          <w:szCs w:val="21"/>
        </w:rPr>
        <w:t>3.30</w:t>
      </w:r>
      <w:r w:rsidR="00146FC0">
        <w:rPr>
          <w:szCs w:val="21"/>
        </w:rPr>
        <w:t>万吨，南通地区库存缩减至</w:t>
      </w:r>
      <w:r w:rsidR="00146FC0">
        <w:rPr>
          <w:rFonts w:ascii="Calibri" w:hAnsi="Calibri" w:cs="Calibri"/>
          <w:szCs w:val="21"/>
        </w:rPr>
        <w:t>1.30</w:t>
      </w:r>
      <w:r w:rsidR="00146FC0">
        <w:rPr>
          <w:szCs w:val="21"/>
        </w:rPr>
        <w:t>万吨，南京地区库存积极走高。周内西南船货集中抵达南京等地，加上太仓少数库区船货发往南京地区，故南京地区库存继续提升中。近期受到避高温以及油品市场低迷等等影响，近期河南、山东和苏北至江苏运费积极推涨且找车不易，故近期河南、苏北等地发往江苏以及浙江地区最终时间被动拉长。本周整体江苏走货量仍显一般，区域内消化固有库存为主</w:t>
      </w:r>
      <w:r w:rsidR="00146FC0">
        <w:rPr>
          <w:rFonts w:hint="eastAsia"/>
          <w:szCs w:val="21"/>
        </w:rPr>
        <w:t>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146FC0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146FC0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3146844" cy="1940943"/>
            <wp:effectExtent l="19050" t="0" r="0" b="0"/>
            <wp:docPr id="5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6007" cy="194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E25" w:rsidRPr="00E26E25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146845" cy="1966823"/>
            <wp:effectExtent l="19050" t="0" r="0" b="0"/>
            <wp:docPr id="20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6007" cy="196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146FC0" w:rsidP="002C37ED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szCs w:val="21"/>
        </w:rPr>
        <w:t>本周，外盘甲醇市场高位整理。周初，少数</w:t>
      </w:r>
      <w:r>
        <w:rPr>
          <w:rFonts w:ascii="Calibri" w:hAnsi="Calibri" w:cs="Calibri"/>
          <w:szCs w:val="21"/>
        </w:rPr>
        <w:t>8</w:t>
      </w:r>
      <w:r>
        <w:rPr>
          <w:szCs w:val="21"/>
        </w:rPr>
        <w:t>月份到港的非伊朗船货试探性固定价报盘</w:t>
      </w:r>
      <w:r>
        <w:rPr>
          <w:rFonts w:ascii="Calibri" w:hAnsi="Calibri" w:cs="Calibri"/>
          <w:szCs w:val="21"/>
        </w:rPr>
        <w:t>290-295</w:t>
      </w:r>
      <w:r>
        <w:rPr>
          <w:szCs w:val="21"/>
        </w:rPr>
        <w:t>美元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吨，买家谨慎还盘在</w:t>
      </w:r>
      <w:r>
        <w:rPr>
          <w:rFonts w:ascii="Calibri" w:hAnsi="Calibri" w:cs="Calibri"/>
          <w:szCs w:val="21"/>
        </w:rPr>
        <w:t>280-285</w:t>
      </w:r>
      <w:r>
        <w:rPr>
          <w:szCs w:val="21"/>
        </w:rPr>
        <w:t>美元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吨，而</w:t>
      </w:r>
      <w:r>
        <w:rPr>
          <w:rFonts w:ascii="Calibri" w:hAnsi="Calibri" w:cs="Calibri"/>
          <w:szCs w:val="21"/>
        </w:rPr>
        <w:t>8</w:t>
      </w:r>
      <w:r>
        <w:rPr>
          <w:szCs w:val="21"/>
        </w:rPr>
        <w:t>月份到港的伊朗船货以及非伊朗船货公式价报盘在</w:t>
      </w:r>
      <w:r>
        <w:rPr>
          <w:rFonts w:ascii="Calibri" w:hAnsi="Calibri" w:cs="Calibri"/>
          <w:szCs w:val="21"/>
        </w:rPr>
        <w:t>+2%-2.5%</w:t>
      </w:r>
      <w:r>
        <w:rPr>
          <w:szCs w:val="21"/>
        </w:rPr>
        <w:t>，周初少数</w:t>
      </w:r>
      <w:r>
        <w:rPr>
          <w:rFonts w:ascii="Calibri" w:hAnsi="Calibri" w:cs="Calibri"/>
          <w:szCs w:val="21"/>
        </w:rPr>
        <w:t>8</w:t>
      </w:r>
      <w:r>
        <w:rPr>
          <w:szCs w:val="21"/>
        </w:rPr>
        <w:t>月份到港的中东非伊朗船货成交在</w:t>
      </w:r>
      <w:r>
        <w:rPr>
          <w:rFonts w:ascii="Calibri" w:hAnsi="Calibri" w:cs="Calibri"/>
          <w:szCs w:val="21"/>
        </w:rPr>
        <w:t>280</w:t>
      </w:r>
      <w:r>
        <w:rPr>
          <w:szCs w:val="21"/>
        </w:rPr>
        <w:t>美元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吨（</w:t>
      </w:r>
      <w:r>
        <w:rPr>
          <w:rFonts w:ascii="Calibri" w:hAnsi="Calibri" w:cs="Calibri"/>
          <w:szCs w:val="21"/>
        </w:rPr>
        <w:t>5000</w:t>
      </w:r>
      <w:r>
        <w:rPr>
          <w:szCs w:val="21"/>
        </w:rPr>
        <w:t>吨），少数</w:t>
      </w:r>
      <w:r>
        <w:rPr>
          <w:rFonts w:ascii="Calibri" w:hAnsi="Calibri" w:cs="Calibri"/>
          <w:szCs w:val="21"/>
        </w:rPr>
        <w:t>8</w:t>
      </w:r>
      <w:r>
        <w:rPr>
          <w:szCs w:val="21"/>
        </w:rPr>
        <w:t>月份到港的伊朗船货成交在</w:t>
      </w:r>
      <w:r>
        <w:rPr>
          <w:rFonts w:ascii="Calibri" w:hAnsi="Calibri" w:cs="Calibri"/>
          <w:szCs w:val="21"/>
        </w:rPr>
        <w:t>+1.5%(1</w:t>
      </w:r>
      <w:r>
        <w:rPr>
          <w:szCs w:val="21"/>
        </w:rPr>
        <w:t>万吨</w:t>
      </w:r>
      <w:r>
        <w:rPr>
          <w:rFonts w:ascii="Calibri" w:hAnsi="Calibri" w:cs="Calibri"/>
          <w:szCs w:val="21"/>
        </w:rPr>
        <w:t>)</w:t>
      </w:r>
      <w:r>
        <w:rPr>
          <w:szCs w:val="21"/>
        </w:rPr>
        <w:t>，另有</w:t>
      </w:r>
      <w:r>
        <w:rPr>
          <w:rFonts w:ascii="Calibri" w:hAnsi="Calibri" w:cs="Calibri"/>
          <w:szCs w:val="21"/>
        </w:rPr>
        <w:t>8</w:t>
      </w:r>
      <w:r>
        <w:rPr>
          <w:szCs w:val="21"/>
        </w:rPr>
        <w:t>月份到港的伊朗船货成交在</w:t>
      </w:r>
      <w:r>
        <w:rPr>
          <w:rFonts w:ascii="Calibri" w:hAnsi="Calibri" w:cs="Calibri"/>
          <w:szCs w:val="21"/>
        </w:rPr>
        <w:t>+1.8%</w:t>
      </w:r>
      <w:r>
        <w:rPr>
          <w:szCs w:val="21"/>
        </w:rPr>
        <w:t>（</w:t>
      </w:r>
      <w:r>
        <w:rPr>
          <w:rFonts w:ascii="Calibri" w:hAnsi="Calibri" w:cs="Calibri"/>
          <w:szCs w:val="21"/>
        </w:rPr>
        <w:t>1</w:t>
      </w:r>
      <w:r>
        <w:rPr>
          <w:szCs w:val="21"/>
        </w:rPr>
        <w:t>万吨）。周后期虽然有货者捂货惜售，但明显出货乏力。少数</w:t>
      </w:r>
      <w:r>
        <w:rPr>
          <w:rFonts w:ascii="Calibri" w:hAnsi="Calibri" w:cs="Calibri"/>
          <w:szCs w:val="21"/>
        </w:rPr>
        <w:t>8</w:t>
      </w:r>
      <w:r>
        <w:rPr>
          <w:szCs w:val="21"/>
        </w:rPr>
        <w:t>月份到港的非伊朗船货固定价报盘</w:t>
      </w:r>
      <w:r>
        <w:rPr>
          <w:rFonts w:ascii="Calibri" w:hAnsi="Calibri" w:cs="Calibri"/>
          <w:szCs w:val="21"/>
        </w:rPr>
        <w:t>292-295</w:t>
      </w:r>
      <w:r>
        <w:rPr>
          <w:szCs w:val="21"/>
        </w:rPr>
        <w:t>美元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吨，少数买家还盘在</w:t>
      </w:r>
      <w:r>
        <w:rPr>
          <w:rFonts w:ascii="Calibri" w:hAnsi="Calibri" w:cs="Calibri"/>
          <w:szCs w:val="21"/>
        </w:rPr>
        <w:t>280-285</w:t>
      </w:r>
      <w:r>
        <w:rPr>
          <w:szCs w:val="21"/>
        </w:rPr>
        <w:t>美元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</w:t>
      </w:r>
      <w:r>
        <w:rPr>
          <w:rFonts w:ascii="Calibri" w:hAnsi="Calibri" w:cs="Calibri"/>
          <w:szCs w:val="21"/>
        </w:rPr>
        <w:t>8</w:t>
      </w:r>
      <w:r>
        <w:rPr>
          <w:szCs w:val="21"/>
        </w:rPr>
        <w:t>月份到港的伊朗船货以及非伊朗船货公式价报盘在</w:t>
      </w:r>
      <w:r>
        <w:rPr>
          <w:rFonts w:ascii="Calibri" w:hAnsi="Calibri" w:cs="Calibri"/>
          <w:szCs w:val="21"/>
        </w:rPr>
        <w:t>+1.8%-2.5%</w:t>
      </w:r>
      <w:r>
        <w:rPr>
          <w:szCs w:val="21"/>
        </w:rPr>
        <w:t>，周后期放量稀疏。近期伊朗少数甲醇厂家招标</w:t>
      </w:r>
      <w:r>
        <w:rPr>
          <w:rFonts w:ascii="Calibri" w:hAnsi="Calibri" w:cs="Calibri"/>
          <w:szCs w:val="21"/>
        </w:rPr>
        <w:t>8</w:t>
      </w:r>
      <w:r>
        <w:rPr>
          <w:szCs w:val="21"/>
        </w:rPr>
        <w:t>月份到港货物基本结束。另外少数重要商家多反映中国和韩国等地价格偏高，多去往欧洲等地低价区域补货</w:t>
      </w:r>
      <w:r w:rsidR="006661DD">
        <w:rPr>
          <w:rFonts w:ascii="宋体" w:hAnsi="宋体" w:cs="Arial" w:hint="eastAsia"/>
          <w:kern w:val="0"/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146FC0" w:rsidTr="0029112E">
        <w:trPr>
          <w:cnfStyle w:val="000000100000"/>
        </w:trPr>
        <w:tc>
          <w:tcPr>
            <w:cnfStyle w:val="001000000000"/>
            <w:tcW w:w="3474" w:type="dxa"/>
          </w:tcPr>
          <w:p w:rsidR="00146FC0" w:rsidRDefault="00146FC0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CFR中国</w:t>
            </w:r>
          </w:p>
        </w:tc>
        <w:tc>
          <w:tcPr>
            <w:tcW w:w="3474" w:type="dxa"/>
          </w:tcPr>
          <w:p w:rsidR="00146FC0" w:rsidRDefault="00146FC0" w:rsidP="007A2F2F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281</w:t>
            </w:r>
          </w:p>
        </w:tc>
        <w:tc>
          <w:tcPr>
            <w:tcW w:w="3474" w:type="dxa"/>
          </w:tcPr>
          <w:p w:rsidR="00146FC0" w:rsidRDefault="00146FC0" w:rsidP="00B752F3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283</w:t>
            </w:r>
          </w:p>
        </w:tc>
      </w:tr>
      <w:tr w:rsidR="00146FC0" w:rsidTr="0029112E">
        <w:trPr>
          <w:cnfStyle w:val="000000010000"/>
        </w:trPr>
        <w:tc>
          <w:tcPr>
            <w:cnfStyle w:val="001000000000"/>
            <w:tcW w:w="3474" w:type="dxa"/>
          </w:tcPr>
          <w:p w:rsidR="00146FC0" w:rsidRDefault="00146FC0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146FC0" w:rsidRDefault="00146FC0" w:rsidP="007876E4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280</w:t>
            </w:r>
          </w:p>
        </w:tc>
        <w:tc>
          <w:tcPr>
            <w:tcW w:w="3474" w:type="dxa"/>
          </w:tcPr>
          <w:p w:rsidR="00146FC0" w:rsidRDefault="00146FC0" w:rsidP="00B752F3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277</w:t>
            </w:r>
          </w:p>
        </w:tc>
      </w:tr>
      <w:tr w:rsidR="00146FC0" w:rsidTr="0029112E">
        <w:trPr>
          <w:cnfStyle w:val="000000100000"/>
        </w:trPr>
        <w:tc>
          <w:tcPr>
            <w:cnfStyle w:val="001000000000"/>
            <w:tcW w:w="3474" w:type="dxa"/>
          </w:tcPr>
          <w:p w:rsidR="00146FC0" w:rsidRDefault="00146FC0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FOB美国</w:t>
            </w:r>
          </w:p>
        </w:tc>
        <w:tc>
          <w:tcPr>
            <w:tcW w:w="3474" w:type="dxa"/>
          </w:tcPr>
          <w:p w:rsidR="00146FC0" w:rsidRDefault="00146FC0" w:rsidP="00426714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294</w:t>
            </w:r>
          </w:p>
        </w:tc>
        <w:tc>
          <w:tcPr>
            <w:tcW w:w="3474" w:type="dxa"/>
          </w:tcPr>
          <w:p w:rsidR="00146FC0" w:rsidRDefault="00146FC0" w:rsidP="00B752F3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296</w:t>
            </w:r>
          </w:p>
        </w:tc>
      </w:tr>
      <w:tr w:rsidR="00146FC0" w:rsidTr="0029112E">
        <w:trPr>
          <w:cnfStyle w:val="000000010000"/>
        </w:trPr>
        <w:tc>
          <w:tcPr>
            <w:cnfStyle w:val="001000000000"/>
            <w:tcW w:w="3474" w:type="dxa"/>
          </w:tcPr>
          <w:p w:rsidR="00146FC0" w:rsidRDefault="00146FC0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FOB鹿特丹（欧元/吨）</w:t>
            </w:r>
          </w:p>
        </w:tc>
        <w:tc>
          <w:tcPr>
            <w:tcW w:w="3474" w:type="dxa"/>
          </w:tcPr>
          <w:p w:rsidR="00146FC0" w:rsidRDefault="00146FC0" w:rsidP="0033137B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260</w:t>
            </w:r>
          </w:p>
        </w:tc>
        <w:tc>
          <w:tcPr>
            <w:tcW w:w="3474" w:type="dxa"/>
          </w:tcPr>
          <w:p w:rsidR="00146FC0" w:rsidRDefault="00146FC0" w:rsidP="00B752F3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255.5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146FC0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146FC0">
        <w:rPr>
          <w:rFonts w:ascii="宋体" w:hAnsi="宋体" w:cs="Arial"/>
          <w:kern w:val="0"/>
          <w:szCs w:val="21"/>
        </w:rPr>
        <w:lastRenderedPageBreak/>
        <w:drawing>
          <wp:inline distT="0" distB="0" distL="0" distR="0">
            <wp:extent cx="6390376" cy="2759174"/>
            <wp:effectExtent l="19050" t="0" r="0" b="0"/>
            <wp:docPr id="6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88677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306E41" w:rsidRDefault="006762CA" w:rsidP="00CB2E7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本周</w:t>
      </w:r>
      <w:r w:rsidR="00C35375">
        <w:rPr>
          <w:rFonts w:ascii="宋体" w:hAnsi="宋体" w:cs="Arial" w:hint="eastAsia"/>
          <w:kern w:val="0"/>
          <w:szCs w:val="21"/>
        </w:rPr>
        <w:t>中美甲醇价差</w:t>
      </w:r>
      <w:r w:rsidR="0037643E">
        <w:rPr>
          <w:rFonts w:ascii="宋体" w:hAnsi="宋体" w:cs="Arial" w:hint="eastAsia"/>
          <w:kern w:val="0"/>
          <w:szCs w:val="21"/>
        </w:rPr>
        <w:t>在</w:t>
      </w:r>
      <w:r w:rsidR="0033137B">
        <w:rPr>
          <w:rFonts w:ascii="宋体" w:hAnsi="宋体" w:cs="Arial" w:hint="eastAsia"/>
          <w:kern w:val="0"/>
          <w:szCs w:val="21"/>
        </w:rPr>
        <w:t>继续</w:t>
      </w:r>
      <w:r w:rsidR="0037643E">
        <w:rPr>
          <w:rFonts w:ascii="宋体" w:hAnsi="宋体" w:cs="Arial" w:hint="eastAsia"/>
          <w:kern w:val="0"/>
          <w:szCs w:val="21"/>
        </w:rPr>
        <w:t>低位徘徊</w:t>
      </w:r>
      <w:r w:rsidR="0033137B">
        <w:rPr>
          <w:rFonts w:ascii="宋体" w:hAnsi="宋体" w:cs="Arial" w:hint="eastAsia"/>
          <w:kern w:val="0"/>
          <w:szCs w:val="21"/>
        </w:rPr>
        <w:t>，</w:t>
      </w:r>
      <w:r w:rsidR="00C35375">
        <w:rPr>
          <w:rFonts w:ascii="宋体" w:hAnsi="宋体" w:cs="Arial" w:hint="eastAsia"/>
          <w:kern w:val="0"/>
          <w:szCs w:val="21"/>
        </w:rPr>
        <w:t>套利窗口</w:t>
      </w:r>
      <w:r w:rsidR="00D3646A">
        <w:rPr>
          <w:rFonts w:ascii="宋体" w:hAnsi="宋体" w:cs="Arial" w:hint="eastAsia"/>
          <w:kern w:val="0"/>
          <w:szCs w:val="21"/>
        </w:rPr>
        <w:t>还未打开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0883" w:rsidRDefault="00306E41" w:rsidP="00306E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BD0883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开工率</w:t>
      </w:r>
    </w:p>
    <w:p w:rsidR="00306E41" w:rsidRPr="00BD0883" w:rsidRDefault="007D19C6" w:rsidP="00306E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7D19C6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6476641" cy="2553419"/>
            <wp:effectExtent l="19050" t="0" r="359" b="0"/>
            <wp:docPr id="7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4434" cy="255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A82" w:rsidRDefault="00BD0883" w:rsidP="00306E41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 w:rsidR="004F5A53"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 w:rsidR="00306E41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E4826" w:rsidRPr="007A2F2F" w:rsidRDefault="007D19C6" w:rsidP="00CB2E7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szCs w:val="21"/>
        </w:rPr>
        <w:t>日，国内甲醇整体装置开工负荷为</w:t>
      </w:r>
      <w:r>
        <w:rPr>
          <w:szCs w:val="21"/>
        </w:rPr>
        <w:t>67.41%</w:t>
      </w:r>
      <w:r>
        <w:rPr>
          <w:szCs w:val="21"/>
        </w:rPr>
        <w:t>，环比上涨</w:t>
      </w:r>
      <w:r>
        <w:rPr>
          <w:szCs w:val="21"/>
        </w:rPr>
        <w:t>0.10%</w:t>
      </w:r>
      <w:r>
        <w:rPr>
          <w:szCs w:val="21"/>
        </w:rPr>
        <w:t>；西北地区的开工</w:t>
      </w:r>
      <w:r>
        <w:rPr>
          <w:szCs w:val="21"/>
        </w:rPr>
        <w:t>73.64%</w:t>
      </w:r>
      <w:r>
        <w:rPr>
          <w:szCs w:val="21"/>
        </w:rPr>
        <w:t>，环比上涨</w:t>
      </w:r>
      <w:r>
        <w:rPr>
          <w:szCs w:val="21"/>
        </w:rPr>
        <w:t>1.33%</w:t>
      </w:r>
      <w:r>
        <w:rPr>
          <w:szCs w:val="21"/>
        </w:rPr>
        <w:t>。本周内西北地区虽部分装置停车、部分装置降负运行，但由于部分烯烃配套甲醇装置恢复运行，加之部分装置负荷提升，导致总体西北地区开工率上涨，以及部分华中地区部分装置停车检修，导致国内开工率略有上涨。</w:t>
      </w:r>
    </w:p>
    <w:p w:rsidR="004F5A53" w:rsidRDefault="007D19C6" w:rsidP="00AE4826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7D19C6">
        <w:rPr>
          <w:rFonts w:ascii="宋体" w:hAnsi="宋体" w:cs="Arial"/>
          <w:kern w:val="0"/>
          <w:szCs w:val="21"/>
        </w:rPr>
        <w:lastRenderedPageBreak/>
        <w:drawing>
          <wp:inline distT="0" distB="0" distL="0" distR="0">
            <wp:extent cx="6390376" cy="2527540"/>
            <wp:effectExtent l="19050" t="0" r="0" b="0"/>
            <wp:docPr id="8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96191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A53" w:rsidRDefault="004F5A53" w:rsidP="004F5A53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F5A53" w:rsidRPr="007A2F2F" w:rsidRDefault="007D19C6" w:rsidP="0042119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szCs w:val="21"/>
        </w:rPr>
        <w:t>本周国内煤（甲醇）制烯烃装置平均开工率在</w:t>
      </w:r>
      <w:r>
        <w:rPr>
          <w:szCs w:val="21"/>
        </w:rPr>
        <w:t>77.17%</w:t>
      </w:r>
      <w:r>
        <w:rPr>
          <w:rFonts w:hint="eastAsia"/>
          <w:szCs w:val="21"/>
        </w:rPr>
        <w:t>，较上周下降</w:t>
      </w:r>
      <w:r>
        <w:rPr>
          <w:szCs w:val="21"/>
        </w:rPr>
        <w:t>1.62</w:t>
      </w:r>
      <w:r>
        <w:rPr>
          <w:rFonts w:hint="eastAsia"/>
          <w:szCs w:val="21"/>
        </w:rPr>
        <w:t>个百分点。本周期内，神华宁煤开始外采甲醇，大唐国际负荷提升至满负荷，但南京诚志（南京惠生）清洁能源</w:t>
      </w:r>
      <w:r>
        <w:rPr>
          <w:szCs w:val="21"/>
        </w:rPr>
        <w:t>7</w:t>
      </w:r>
      <w:r>
        <w:rPr>
          <w:rFonts w:hint="eastAsia"/>
          <w:szCs w:val="21"/>
        </w:rPr>
        <w:t>月</w:t>
      </w:r>
      <w:r>
        <w:rPr>
          <w:szCs w:val="21"/>
        </w:rPr>
        <w:t>10</w:t>
      </w:r>
      <w:r>
        <w:rPr>
          <w:rFonts w:hint="eastAsia"/>
          <w:szCs w:val="21"/>
        </w:rPr>
        <w:t>日</w:t>
      </w:r>
      <w:r>
        <w:rPr>
          <w:szCs w:val="21"/>
        </w:rPr>
        <w:t>-7</w:t>
      </w:r>
      <w:r>
        <w:rPr>
          <w:rFonts w:hint="eastAsia"/>
          <w:szCs w:val="21"/>
        </w:rPr>
        <w:t>月</w:t>
      </w:r>
      <w:r>
        <w:rPr>
          <w:szCs w:val="21"/>
        </w:rPr>
        <w:t>13</w:t>
      </w:r>
      <w:r w:rsidR="00BE3DB3">
        <w:rPr>
          <w:rFonts w:hint="eastAsia"/>
          <w:szCs w:val="21"/>
        </w:rPr>
        <w:t>日停车</w:t>
      </w:r>
      <w:r>
        <w:rPr>
          <w:rFonts w:hint="eastAsia"/>
          <w:szCs w:val="21"/>
        </w:rPr>
        <w:t>，国内</w:t>
      </w:r>
      <w:r>
        <w:rPr>
          <w:szCs w:val="21"/>
        </w:rPr>
        <w:t>CTO/MTO</w:t>
      </w:r>
      <w:r>
        <w:rPr>
          <w:rFonts w:hint="eastAsia"/>
          <w:szCs w:val="21"/>
        </w:rPr>
        <w:t>装置整体开工率小幅下降，其余装置运行基本稳定。继续关注环保的影响及山东个别装置减量进展</w:t>
      </w:r>
      <w:r w:rsidR="00B40519">
        <w:rPr>
          <w:rFonts w:ascii="宋体" w:hAnsi="宋体" w:cs="Arial" w:hint="eastAsia"/>
          <w:kern w:val="0"/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1471"/>
        <w:gridCol w:w="1524"/>
        <w:gridCol w:w="1506"/>
        <w:gridCol w:w="1524"/>
        <w:gridCol w:w="1437"/>
        <w:gridCol w:w="1471"/>
        <w:gridCol w:w="1489"/>
      </w:tblGrid>
      <w:tr w:rsidR="008820E4" w:rsidTr="008820E4">
        <w:trPr>
          <w:cnfStyle w:val="100000000000"/>
          <w:trHeight w:val="514"/>
        </w:trPr>
        <w:tc>
          <w:tcPr>
            <w:cnfStyle w:val="001000000000"/>
            <w:tcW w:w="1471" w:type="dxa"/>
          </w:tcPr>
          <w:p w:rsidR="008820E4" w:rsidRDefault="008820E4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</w:p>
        </w:tc>
        <w:tc>
          <w:tcPr>
            <w:tcW w:w="1524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甲醛</w:t>
            </w:r>
          </w:p>
        </w:tc>
        <w:tc>
          <w:tcPr>
            <w:tcW w:w="1506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二甲醚</w:t>
            </w:r>
          </w:p>
        </w:tc>
        <w:tc>
          <w:tcPr>
            <w:tcW w:w="1524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MTBE</w:t>
            </w:r>
          </w:p>
        </w:tc>
        <w:tc>
          <w:tcPr>
            <w:tcW w:w="1437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醋酸</w:t>
            </w:r>
          </w:p>
        </w:tc>
        <w:tc>
          <w:tcPr>
            <w:tcW w:w="1471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甲缩醛</w:t>
            </w:r>
          </w:p>
        </w:tc>
        <w:tc>
          <w:tcPr>
            <w:tcW w:w="1489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DMF</w:t>
            </w:r>
          </w:p>
        </w:tc>
      </w:tr>
      <w:tr w:rsidR="00571D7A" w:rsidTr="008820E4">
        <w:trPr>
          <w:cnfStyle w:val="000000100000"/>
          <w:trHeight w:val="514"/>
        </w:trPr>
        <w:tc>
          <w:tcPr>
            <w:cnfStyle w:val="001000000000"/>
            <w:tcW w:w="1471" w:type="dxa"/>
          </w:tcPr>
          <w:p w:rsidR="00571D7A" w:rsidRDefault="00571D7A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1524" w:type="dxa"/>
          </w:tcPr>
          <w:p w:rsidR="00571D7A" w:rsidRDefault="007D19C6" w:rsidP="00571D7A">
            <w:pPr>
              <w:pStyle w:val="Default"/>
              <w:cnfStyle w:val="000000100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30.59</w:t>
            </w:r>
            <w:r w:rsidR="004A7CE6"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1506" w:type="dxa"/>
          </w:tcPr>
          <w:p w:rsidR="00571D7A" w:rsidRDefault="007D19C6" w:rsidP="00571D7A">
            <w:pPr>
              <w:pStyle w:val="Default"/>
              <w:cnfStyle w:val="000000100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20.16</w:t>
            </w:r>
            <w:r w:rsidR="004A7CE6"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1524" w:type="dxa"/>
          </w:tcPr>
          <w:p w:rsidR="00571D7A" w:rsidRDefault="007D19C6" w:rsidP="00571D7A">
            <w:pPr>
              <w:pStyle w:val="Default"/>
              <w:cnfStyle w:val="000000100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59.12</w:t>
            </w:r>
            <w:r w:rsidR="004A7CE6"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1437" w:type="dxa"/>
          </w:tcPr>
          <w:p w:rsidR="00571D7A" w:rsidRDefault="007D19C6" w:rsidP="00571D7A">
            <w:pPr>
              <w:pStyle w:val="Default"/>
              <w:cnfStyle w:val="000000100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75.05</w:t>
            </w:r>
            <w:r w:rsidR="004A7CE6"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1471" w:type="dxa"/>
          </w:tcPr>
          <w:p w:rsidR="00571D7A" w:rsidRDefault="007D19C6" w:rsidP="00571D7A">
            <w:pPr>
              <w:pStyle w:val="Default"/>
              <w:cnfStyle w:val="000000100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9.77</w:t>
            </w:r>
            <w:r w:rsidR="004A7CE6"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1489" w:type="dxa"/>
          </w:tcPr>
          <w:p w:rsidR="00571D7A" w:rsidRDefault="004A7CE6" w:rsidP="00571D7A">
            <w:pPr>
              <w:pStyle w:val="Default"/>
              <w:cnfStyle w:val="000000100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45%</w:t>
            </w:r>
          </w:p>
        </w:tc>
      </w:tr>
      <w:tr w:rsidR="007D19C6" w:rsidTr="008820E4">
        <w:trPr>
          <w:cnfStyle w:val="000000010000"/>
          <w:trHeight w:val="514"/>
        </w:trPr>
        <w:tc>
          <w:tcPr>
            <w:cnfStyle w:val="001000000000"/>
            <w:tcW w:w="1471" w:type="dxa"/>
          </w:tcPr>
          <w:p w:rsidR="007D19C6" w:rsidRDefault="007D19C6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  <w:tc>
          <w:tcPr>
            <w:tcW w:w="1524" w:type="dxa"/>
          </w:tcPr>
          <w:p w:rsidR="007D19C6" w:rsidRDefault="007D19C6" w:rsidP="00B752F3">
            <w:pPr>
              <w:pStyle w:val="Default"/>
              <w:cnfStyle w:val="0000000100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31.14%</w:t>
            </w:r>
          </w:p>
        </w:tc>
        <w:tc>
          <w:tcPr>
            <w:tcW w:w="1506" w:type="dxa"/>
          </w:tcPr>
          <w:p w:rsidR="007D19C6" w:rsidRDefault="007D19C6" w:rsidP="00B752F3">
            <w:pPr>
              <w:pStyle w:val="Default"/>
              <w:cnfStyle w:val="0000000100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18.95%</w:t>
            </w:r>
          </w:p>
        </w:tc>
        <w:tc>
          <w:tcPr>
            <w:tcW w:w="1524" w:type="dxa"/>
          </w:tcPr>
          <w:p w:rsidR="007D19C6" w:rsidRDefault="007D19C6" w:rsidP="00B752F3">
            <w:pPr>
              <w:pStyle w:val="Default"/>
              <w:cnfStyle w:val="0000000100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59.88%</w:t>
            </w:r>
          </w:p>
        </w:tc>
        <w:tc>
          <w:tcPr>
            <w:tcW w:w="1437" w:type="dxa"/>
          </w:tcPr>
          <w:p w:rsidR="007D19C6" w:rsidRDefault="007D19C6" w:rsidP="00B752F3">
            <w:pPr>
              <w:pStyle w:val="Default"/>
              <w:cnfStyle w:val="0000000100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72.19%</w:t>
            </w:r>
          </w:p>
        </w:tc>
        <w:tc>
          <w:tcPr>
            <w:tcW w:w="1471" w:type="dxa"/>
          </w:tcPr>
          <w:p w:rsidR="007D19C6" w:rsidRDefault="007D19C6" w:rsidP="00B752F3">
            <w:pPr>
              <w:pStyle w:val="Default"/>
              <w:cnfStyle w:val="0000000100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9.94%</w:t>
            </w:r>
          </w:p>
        </w:tc>
        <w:tc>
          <w:tcPr>
            <w:tcW w:w="1489" w:type="dxa"/>
          </w:tcPr>
          <w:p w:rsidR="007D19C6" w:rsidRDefault="007D19C6" w:rsidP="00B752F3">
            <w:pPr>
              <w:pStyle w:val="Default"/>
              <w:cnfStyle w:val="0000000100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51.86%</w:t>
            </w:r>
          </w:p>
        </w:tc>
      </w:tr>
    </w:tbl>
    <w:p w:rsidR="004F5A53" w:rsidRPr="004F5A53" w:rsidRDefault="008820E4" w:rsidP="00C350B2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E865B6" w:rsidRPr="00AE4826" w:rsidRDefault="00AE4826" w:rsidP="00AE4826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七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BE3DB3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BE3DB3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6329992" cy="2303253"/>
            <wp:effectExtent l="19050" t="0" r="0" b="0"/>
            <wp:docPr id="10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28309" cy="230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571D7A" w:rsidRDefault="00BE3DB3" w:rsidP="00571D7A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lastRenderedPageBreak/>
        <w:t>本周，国内二甲醚市场呈现震荡走高之势，主要得益于原料甲醇的推涨及供应端利好支撑。周内，内地主产区甲醇继续推涨，周边市场纷纷跟进调涨，传导至二甲醚市场表现为成本压力增大，供方挺价意愿较强，加之周后期有个别主力工厂停车检修，本周四，供方集体上推排货，其中，河南市场低端上推明显。但周内液化气市场仍以弱势为主，持续打压终端需求。截止到本周四，二甲醚均价在</w:t>
      </w:r>
      <w:r>
        <w:rPr>
          <w:szCs w:val="21"/>
        </w:rPr>
        <w:t>3255.71</w:t>
      </w:r>
      <w:r>
        <w:rPr>
          <w:rFonts w:hint="eastAsia"/>
          <w:szCs w:val="21"/>
        </w:rPr>
        <w:t>元</w:t>
      </w:r>
      <w:r>
        <w:rPr>
          <w:szCs w:val="21"/>
        </w:rPr>
        <w:t>/</w:t>
      </w:r>
      <w:r>
        <w:rPr>
          <w:rFonts w:hint="eastAsia"/>
          <w:szCs w:val="21"/>
        </w:rPr>
        <w:t>吨，较之上周环比下滑</w:t>
      </w:r>
      <w:r>
        <w:rPr>
          <w:szCs w:val="21"/>
        </w:rPr>
        <w:t>0.31%</w:t>
      </w:r>
      <w:r>
        <w:rPr>
          <w:rFonts w:hint="eastAsia"/>
          <w:szCs w:val="21"/>
        </w:rPr>
        <w:t>。</w:t>
      </w:r>
    </w:p>
    <w:p w:rsidR="008820E4" w:rsidRDefault="00BE3DB3" w:rsidP="00571D7A">
      <w:pPr>
        <w:widowControl/>
        <w:spacing w:line="360" w:lineRule="auto"/>
        <w:ind w:firstLineChars="200" w:firstLine="420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szCs w:val="21"/>
        </w:rPr>
        <w:t>本周国内甲醛市场涨跌互现。截止收稿，山东地区甲醛市场均价为</w:t>
      </w:r>
      <w:r>
        <w:rPr>
          <w:rFonts w:ascii="Calibri" w:hAnsi="Calibri" w:cs="Calibri"/>
          <w:szCs w:val="21"/>
        </w:rPr>
        <w:t>1111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吨，环比上涨</w:t>
      </w:r>
      <w:r>
        <w:rPr>
          <w:rFonts w:ascii="Calibri" w:hAnsi="Calibri" w:cs="Calibri"/>
          <w:szCs w:val="21"/>
        </w:rPr>
        <w:t>2.02%</w:t>
      </w:r>
      <w:r>
        <w:rPr>
          <w:szCs w:val="21"/>
        </w:rPr>
        <w:t>；河北地区甲醛市场均价为</w:t>
      </w:r>
      <w:r>
        <w:rPr>
          <w:rFonts w:ascii="Calibri" w:hAnsi="Calibri" w:cs="Calibri"/>
          <w:szCs w:val="21"/>
        </w:rPr>
        <w:t>1145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吨，环比下滑</w:t>
      </w:r>
      <w:r>
        <w:rPr>
          <w:rFonts w:ascii="Calibri" w:hAnsi="Calibri" w:cs="Calibri"/>
          <w:szCs w:val="21"/>
        </w:rPr>
        <w:t>3.94%</w:t>
      </w:r>
      <w:r>
        <w:rPr>
          <w:szCs w:val="21"/>
        </w:rPr>
        <w:t>。周初，内地甲醇继续大幅上行，带动甲醛主流市场成本走高，山东、江苏、华南等市场商谈区间低端减少，然各地市场持续受高温、降雨影响，加之环保、安全检查力度不减，甲醛跟涨空间有限，上行不足。河北地区交投安静，主流供方主动让利、大幅调低报盘，然走货难有好转，市场疲弱气氛难抑</w:t>
      </w:r>
      <w:r w:rsidR="00571D7A">
        <w:rPr>
          <w:szCs w:val="21"/>
        </w:rPr>
        <w:t>。</w:t>
      </w:r>
    </w:p>
    <w:p w:rsidR="00015D10" w:rsidRPr="00BE3DB3" w:rsidRDefault="00BE3DB3" w:rsidP="00BE3DB3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本周，国内冰醋酸市场略有反弹。截至周四收盘，华东冰醋酸市场收盘在</w:t>
      </w:r>
      <w:r>
        <w:rPr>
          <w:szCs w:val="21"/>
        </w:rPr>
        <w:t>2580-2830</w:t>
      </w:r>
      <w:r>
        <w:rPr>
          <w:rFonts w:hint="eastAsia"/>
          <w:szCs w:val="21"/>
        </w:rPr>
        <w:t>元</w:t>
      </w:r>
      <w:r>
        <w:rPr>
          <w:szCs w:val="21"/>
        </w:rPr>
        <w:t>/</w:t>
      </w:r>
      <w:r>
        <w:rPr>
          <w:rFonts w:hint="eastAsia"/>
          <w:szCs w:val="21"/>
        </w:rPr>
        <w:t>吨，华东周均价</w:t>
      </w:r>
      <w:r>
        <w:rPr>
          <w:szCs w:val="21"/>
        </w:rPr>
        <w:t>2662</w:t>
      </w:r>
      <w:r>
        <w:rPr>
          <w:rFonts w:hint="eastAsia"/>
          <w:szCs w:val="21"/>
        </w:rPr>
        <w:t>元</w:t>
      </w:r>
      <w:r>
        <w:rPr>
          <w:szCs w:val="21"/>
        </w:rPr>
        <w:t>/</w:t>
      </w:r>
      <w:r>
        <w:rPr>
          <w:rFonts w:hint="eastAsia"/>
          <w:szCs w:val="21"/>
        </w:rPr>
        <w:t>吨，环比下跌</w:t>
      </w:r>
      <w:r>
        <w:rPr>
          <w:szCs w:val="21"/>
        </w:rPr>
        <w:t>0.41%</w:t>
      </w:r>
      <w:r>
        <w:rPr>
          <w:rFonts w:hint="eastAsia"/>
          <w:szCs w:val="21"/>
        </w:rPr>
        <w:t>，同比上涨</w:t>
      </w:r>
      <w:r>
        <w:rPr>
          <w:szCs w:val="21"/>
        </w:rPr>
        <w:t>32.11%</w:t>
      </w:r>
      <w:r>
        <w:rPr>
          <w:rFonts w:hint="eastAsia"/>
          <w:szCs w:val="21"/>
        </w:rPr>
        <w:t>。经过前段时间冰醋酸市场接连下行，工厂盈利空间被不断收窄，持货商继续让利意向不强，周初冰醋酸市场窄幅整理为主。周内原料甲醇市场上行为主，冰醋酸成本支撑有力，加之下游接货情况尚可，以及部分工厂有出口订单支撑，工厂去库存状况良好。河北英都装置周内运行不稳，河南义马装置近日停车，北方供应压力稍缓。供应面与原料面支撑下，冰醋酸市场商谈小有反弹</w:t>
      </w:r>
      <w:r w:rsidR="00015D10">
        <w:rPr>
          <w:rFonts w:hint="eastAsia"/>
          <w:szCs w:val="21"/>
        </w:rPr>
        <w:t>。</w:t>
      </w:r>
    </w:p>
    <w:p w:rsidR="00036EC3" w:rsidRDefault="00AE4826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八</w:t>
      </w:r>
      <w:r w:rsidR="00E865B6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产业链利润情况</w:t>
      </w:r>
    </w:p>
    <w:p w:rsidR="008820E4" w:rsidRPr="00F00B5E" w:rsidRDefault="00BE3DB3" w:rsidP="00F00B5E"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BE3DB3">
        <w:rPr>
          <w:rFonts w:ascii="宋体" w:hAnsi="宋体" w:cs="宋体"/>
          <w:color w:val="000000"/>
          <w:kern w:val="0"/>
          <w:sz w:val="22"/>
          <w:szCs w:val="22"/>
        </w:rPr>
        <w:drawing>
          <wp:inline distT="0" distB="0" distL="0" distR="0">
            <wp:extent cx="6148837" cy="2766796"/>
            <wp:effectExtent l="19050" t="0" r="4313" b="0"/>
            <wp:docPr id="11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47202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7D1331" w:rsidRPr="007A2F2F" w:rsidRDefault="007D1331" w:rsidP="00180149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7A2F2F">
        <w:rPr>
          <w:rFonts w:ascii="宋体" w:hAnsi="宋体" w:cs="Arial" w:hint="eastAsia"/>
          <w:kern w:val="0"/>
          <w:szCs w:val="21"/>
        </w:rPr>
        <w:t>从产业链的利润情况来看，</w:t>
      </w:r>
      <w:r w:rsidR="009A34B0">
        <w:rPr>
          <w:rFonts w:ascii="宋体" w:hAnsi="宋体" w:cs="Arial" w:hint="eastAsia"/>
          <w:kern w:val="0"/>
          <w:szCs w:val="21"/>
        </w:rPr>
        <w:t>随着甲醇以及下游产品价格不断下移，产业链利润重新分配。甲醇端利润逐渐向下游转移，MTO利润已经大幅好转</w:t>
      </w:r>
      <w:r w:rsidR="00015D10">
        <w:rPr>
          <w:rFonts w:ascii="宋体" w:hAnsi="宋体" w:cs="Arial" w:hint="eastAsia"/>
          <w:kern w:val="0"/>
          <w:szCs w:val="21"/>
        </w:rPr>
        <w:t>，但近期又有所恶化</w:t>
      </w:r>
      <w:r w:rsidR="009A34B0">
        <w:rPr>
          <w:rFonts w:ascii="宋体" w:hAnsi="宋体" w:cs="Arial" w:hint="eastAsia"/>
          <w:kern w:val="0"/>
          <w:szCs w:val="21"/>
        </w:rPr>
        <w:t>。传统下游利润恢复，也在平衡点之上。</w:t>
      </w:r>
    </w:p>
    <w:p w:rsidR="007D1331" w:rsidRDefault="007D1331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九、总结</w:t>
      </w:r>
    </w:p>
    <w:p w:rsidR="00F03764" w:rsidRPr="007A2F2F" w:rsidRDefault="00015D10" w:rsidP="00CA243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近期原油</w:t>
      </w:r>
      <w:r w:rsidR="00BE3DB3">
        <w:rPr>
          <w:rFonts w:ascii="宋体" w:hAnsi="宋体" w:cs="Arial" w:hint="eastAsia"/>
          <w:kern w:val="0"/>
          <w:szCs w:val="21"/>
        </w:rPr>
        <w:t>反弹，带动化工品强势走强，尤其PTA，产业结构的改变导致近期该商品强势上涨</w:t>
      </w:r>
      <w:r w:rsidR="002E6D3E">
        <w:rPr>
          <w:rFonts w:ascii="宋体" w:hAnsi="宋体" w:cs="Arial" w:hint="eastAsia"/>
          <w:kern w:val="0"/>
          <w:szCs w:val="21"/>
        </w:rPr>
        <w:t>。</w:t>
      </w:r>
    </w:p>
    <w:p w:rsidR="0074512B" w:rsidRDefault="00A82CF5" w:rsidP="0074512B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供应</w:t>
      </w:r>
      <w:r w:rsidR="002E6D3E">
        <w:rPr>
          <w:rFonts w:ascii="宋体" w:hAnsi="宋体" w:cs="Arial" w:hint="eastAsia"/>
          <w:kern w:val="0"/>
          <w:szCs w:val="21"/>
        </w:rPr>
        <w:t>来看，</w:t>
      </w:r>
      <w:r w:rsidR="00BE3DB3">
        <w:rPr>
          <w:rFonts w:ascii="宋体" w:hAnsi="宋体" w:cs="Arial" w:hint="eastAsia"/>
          <w:kern w:val="0"/>
          <w:szCs w:val="21"/>
        </w:rPr>
        <w:t>近期国内开工变化不大，港口库存有所累积，库存压力增大</w:t>
      </w:r>
      <w:r w:rsidR="003241C2">
        <w:rPr>
          <w:rFonts w:ascii="宋体" w:hAnsi="宋体" w:cs="Arial" w:hint="eastAsia"/>
          <w:kern w:val="0"/>
          <w:szCs w:val="21"/>
        </w:rPr>
        <w:t>。</w:t>
      </w:r>
      <w:r w:rsidR="00BE3DB3">
        <w:rPr>
          <w:rFonts w:ascii="宋体" w:hAnsi="宋体" w:cs="Arial" w:hint="eastAsia"/>
          <w:kern w:val="0"/>
          <w:szCs w:val="21"/>
        </w:rPr>
        <w:t>美金货涨幅较为一般，导致进口一直处于顺挂，进口压力可能增加。</w:t>
      </w:r>
    </w:p>
    <w:p w:rsidR="0074512B" w:rsidRPr="0074512B" w:rsidRDefault="0074512B" w:rsidP="0074512B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需求来看，</w:t>
      </w:r>
      <w:r w:rsidR="00015D10">
        <w:rPr>
          <w:rFonts w:ascii="宋体" w:hAnsi="宋体" w:cs="Arial" w:hint="eastAsia"/>
          <w:kern w:val="0"/>
          <w:szCs w:val="21"/>
        </w:rPr>
        <w:t>本周宁煤重启，对内地需求有拉动，加上宁波富德升负荷，需求有所反弹</w:t>
      </w:r>
      <w:r w:rsidR="00D4741C">
        <w:rPr>
          <w:rFonts w:ascii="宋体" w:hAnsi="宋体" w:cs="Arial" w:hint="eastAsia"/>
          <w:kern w:val="0"/>
          <w:szCs w:val="21"/>
        </w:rPr>
        <w:t>，</w:t>
      </w:r>
      <w:r w:rsidR="00015D10">
        <w:rPr>
          <w:rFonts w:ascii="宋体" w:hAnsi="宋体" w:cs="Arial" w:hint="eastAsia"/>
          <w:kern w:val="0"/>
          <w:szCs w:val="21"/>
        </w:rPr>
        <w:t>但</w:t>
      </w:r>
      <w:r w:rsidR="00D4741C">
        <w:rPr>
          <w:rFonts w:ascii="宋体" w:hAnsi="宋体" w:cs="Arial" w:hint="eastAsia"/>
          <w:kern w:val="0"/>
          <w:szCs w:val="21"/>
        </w:rPr>
        <w:t>传统下游处于淡季，需求支撑有限</w:t>
      </w:r>
      <w:r>
        <w:rPr>
          <w:rFonts w:ascii="宋体" w:hAnsi="宋体" w:cs="Arial" w:hint="eastAsia"/>
          <w:kern w:val="0"/>
          <w:szCs w:val="21"/>
        </w:rPr>
        <w:t>。</w:t>
      </w:r>
    </w:p>
    <w:p w:rsidR="00015D10" w:rsidRDefault="00F03764" w:rsidP="00015D10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7A2F2F">
        <w:rPr>
          <w:rFonts w:ascii="宋体" w:hAnsi="宋体" w:cs="Arial" w:hint="eastAsia"/>
          <w:kern w:val="0"/>
          <w:szCs w:val="21"/>
        </w:rPr>
        <w:t>总体而言，</w:t>
      </w:r>
      <w:r w:rsidR="00350FC1">
        <w:rPr>
          <w:rFonts w:ascii="宋体" w:hAnsi="宋体" w:cs="Arial" w:hint="eastAsia"/>
          <w:kern w:val="0"/>
          <w:szCs w:val="21"/>
        </w:rPr>
        <w:t>甲醇基本面偏弱，但由于</w:t>
      </w:r>
      <w:r w:rsidR="00D4741C">
        <w:rPr>
          <w:rFonts w:ascii="宋体" w:hAnsi="宋体" w:cs="Arial" w:hint="eastAsia"/>
          <w:kern w:val="0"/>
          <w:szCs w:val="21"/>
        </w:rPr>
        <w:t>商品整体走强，甲醇短期内有反弹需求</w:t>
      </w:r>
      <w:r w:rsidR="00350FC1">
        <w:rPr>
          <w:rFonts w:ascii="宋体" w:hAnsi="宋体" w:cs="Arial" w:hint="eastAsia"/>
          <w:kern w:val="0"/>
          <w:szCs w:val="21"/>
        </w:rPr>
        <w:t>，反弹后沽空是主要的策略</w:t>
      </w:r>
      <w:r w:rsidR="00421191">
        <w:rPr>
          <w:rFonts w:ascii="宋体" w:hAnsi="宋体" w:cs="Arial" w:hint="eastAsia"/>
          <w:kern w:val="0"/>
          <w:szCs w:val="21"/>
        </w:rPr>
        <w:t>。</w:t>
      </w:r>
    </w:p>
    <w:p w:rsidR="00015D10" w:rsidRDefault="00015D10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015D10" w:rsidRPr="00350FC1" w:rsidRDefault="00015D10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FA285B" w:rsidRPr="00CA0DFC" w:rsidRDefault="0031783B" w:rsidP="00015D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584" w:rsidRDefault="00AD1584">
      <w:r>
        <w:separator/>
      </w:r>
    </w:p>
  </w:endnote>
  <w:endnote w:type="continuationSeparator" w:id="1">
    <w:p w:rsidR="00AD1584" w:rsidRDefault="00AD1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宋体_....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Default="00221565">
    <w:pPr>
      <w:pStyle w:val="ab"/>
      <w:jc w:val="center"/>
    </w:pPr>
    <w:fldSimple w:instr=" PAGE   \* MERGEFORMAT ">
      <w:r w:rsidR="00BE3DB3" w:rsidRPr="00BE3DB3">
        <w:rPr>
          <w:noProof/>
          <w:lang w:val="zh-CN"/>
        </w:rPr>
        <w:t>2</w:t>
      </w:r>
    </w:fldSimple>
  </w:p>
  <w:p w:rsidR="009A34B0" w:rsidRPr="0078113A" w:rsidRDefault="009A34B0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C32A93" w:rsidRDefault="00221565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9A34B0" w:rsidRPr="009B2722">
      <w:rPr>
        <w:rFonts w:ascii="楷体_GB2312" w:eastAsia="楷体_GB2312" w:hint="eastAsia"/>
        <w:color w:val="365F91"/>
      </w:rPr>
      <w:t xml:space="preserve">请务必阅读免责声明 </w:t>
    </w:r>
    <w:r w:rsidR="009A34B0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584" w:rsidRDefault="00AD1584">
      <w:r>
        <w:separator/>
      </w:r>
    </w:p>
  </w:footnote>
  <w:footnote w:type="continuationSeparator" w:id="1">
    <w:p w:rsidR="00AD1584" w:rsidRDefault="00AD1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221565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9A34B0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4B0">
      <w:rPr>
        <w:rFonts w:hint="eastAsia"/>
        <w:color w:val="365F91"/>
      </w:rPr>
      <w:t xml:space="preserve">                                   </w:t>
    </w:r>
    <w:r w:rsidR="009A34B0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221565" w:rsidP="00C32A93">
    <w:pPr>
      <w:rPr>
        <w:rFonts w:ascii="华文新魏" w:eastAsia="华文新魏"/>
        <w:i/>
        <w:color w:val="17365D"/>
        <w:sz w:val="44"/>
      </w:rPr>
    </w:pPr>
    <w:r w:rsidRPr="002215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A34B0" w:rsidRPr="00D45027" w:rsidRDefault="009A34B0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221565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9A34B0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21565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9A34B0" w:rsidRPr="009B2722">
      <w:rPr>
        <w:rFonts w:hint="eastAsia"/>
        <w:noProof/>
        <w:color w:val="17365D"/>
      </w:rPr>
      <w:t xml:space="preserve"> </w:t>
    </w:r>
    <w:r w:rsidR="009A34B0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5D10"/>
    <w:rsid w:val="00016523"/>
    <w:rsid w:val="000206F7"/>
    <w:rsid w:val="00021245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4E5B"/>
    <w:rsid w:val="000359EB"/>
    <w:rsid w:val="00036677"/>
    <w:rsid w:val="00036B6F"/>
    <w:rsid w:val="00036C51"/>
    <w:rsid w:val="00036EC3"/>
    <w:rsid w:val="0003704E"/>
    <w:rsid w:val="0003716F"/>
    <w:rsid w:val="000375E9"/>
    <w:rsid w:val="00037A0B"/>
    <w:rsid w:val="00040905"/>
    <w:rsid w:val="00041762"/>
    <w:rsid w:val="00042AC1"/>
    <w:rsid w:val="00042ACE"/>
    <w:rsid w:val="0004317E"/>
    <w:rsid w:val="00043D72"/>
    <w:rsid w:val="00045320"/>
    <w:rsid w:val="000453AB"/>
    <w:rsid w:val="00047CA5"/>
    <w:rsid w:val="00050FE0"/>
    <w:rsid w:val="00051031"/>
    <w:rsid w:val="00051F65"/>
    <w:rsid w:val="00052091"/>
    <w:rsid w:val="00052B6B"/>
    <w:rsid w:val="00054FBA"/>
    <w:rsid w:val="000554E3"/>
    <w:rsid w:val="00057498"/>
    <w:rsid w:val="00057D0A"/>
    <w:rsid w:val="00057D76"/>
    <w:rsid w:val="00057DD5"/>
    <w:rsid w:val="000600FC"/>
    <w:rsid w:val="000608C3"/>
    <w:rsid w:val="000610FF"/>
    <w:rsid w:val="00062C0D"/>
    <w:rsid w:val="00062DAD"/>
    <w:rsid w:val="00063765"/>
    <w:rsid w:val="00063AB9"/>
    <w:rsid w:val="00064D8F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C4E"/>
    <w:rsid w:val="000759B9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B25"/>
    <w:rsid w:val="00090E3A"/>
    <w:rsid w:val="00091532"/>
    <w:rsid w:val="00092534"/>
    <w:rsid w:val="00093738"/>
    <w:rsid w:val="00093C87"/>
    <w:rsid w:val="0009426A"/>
    <w:rsid w:val="00094972"/>
    <w:rsid w:val="00095D15"/>
    <w:rsid w:val="00095FF8"/>
    <w:rsid w:val="000969F3"/>
    <w:rsid w:val="00096BA5"/>
    <w:rsid w:val="00096E35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49AF"/>
    <w:rsid w:val="000B57A1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2E6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6150"/>
    <w:rsid w:val="000D72E7"/>
    <w:rsid w:val="000E1450"/>
    <w:rsid w:val="000E2972"/>
    <w:rsid w:val="000E35B4"/>
    <w:rsid w:val="000E43DA"/>
    <w:rsid w:val="000E45F7"/>
    <w:rsid w:val="000E4737"/>
    <w:rsid w:val="000E49BB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3A6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4F42"/>
    <w:rsid w:val="00135526"/>
    <w:rsid w:val="00135A1E"/>
    <w:rsid w:val="00136296"/>
    <w:rsid w:val="00137206"/>
    <w:rsid w:val="001410C9"/>
    <w:rsid w:val="00141757"/>
    <w:rsid w:val="00141891"/>
    <w:rsid w:val="0014194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6FC0"/>
    <w:rsid w:val="0014713B"/>
    <w:rsid w:val="0015012F"/>
    <w:rsid w:val="00151A82"/>
    <w:rsid w:val="00151E92"/>
    <w:rsid w:val="001532CC"/>
    <w:rsid w:val="00153809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717B8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1305"/>
    <w:rsid w:val="001A136C"/>
    <w:rsid w:val="001A13A4"/>
    <w:rsid w:val="001A1515"/>
    <w:rsid w:val="001A1697"/>
    <w:rsid w:val="001A1E9B"/>
    <w:rsid w:val="001A2FB0"/>
    <w:rsid w:val="001A3173"/>
    <w:rsid w:val="001A377B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5409"/>
    <w:rsid w:val="001D7547"/>
    <w:rsid w:val="001D7F3A"/>
    <w:rsid w:val="001E0A9E"/>
    <w:rsid w:val="001E11AE"/>
    <w:rsid w:val="001E1658"/>
    <w:rsid w:val="001E1A05"/>
    <w:rsid w:val="001E1A30"/>
    <w:rsid w:val="001E28A8"/>
    <w:rsid w:val="001E3307"/>
    <w:rsid w:val="001E3E99"/>
    <w:rsid w:val="001E428E"/>
    <w:rsid w:val="001E4307"/>
    <w:rsid w:val="001E4B78"/>
    <w:rsid w:val="001E4BF7"/>
    <w:rsid w:val="001E57D3"/>
    <w:rsid w:val="001E5888"/>
    <w:rsid w:val="001E6B69"/>
    <w:rsid w:val="001E769F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1F61A1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3F4C"/>
    <w:rsid w:val="002140BB"/>
    <w:rsid w:val="00214CFA"/>
    <w:rsid w:val="00215C38"/>
    <w:rsid w:val="002163C4"/>
    <w:rsid w:val="00216917"/>
    <w:rsid w:val="002169F0"/>
    <w:rsid w:val="002177DC"/>
    <w:rsid w:val="0021796C"/>
    <w:rsid w:val="00217FA2"/>
    <w:rsid w:val="002209A4"/>
    <w:rsid w:val="00221565"/>
    <w:rsid w:val="00221AFE"/>
    <w:rsid w:val="00222089"/>
    <w:rsid w:val="00222792"/>
    <w:rsid w:val="00222CEA"/>
    <w:rsid w:val="002239AC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3C5"/>
    <w:rsid w:val="002364CB"/>
    <w:rsid w:val="00236E13"/>
    <w:rsid w:val="002377D3"/>
    <w:rsid w:val="00237C50"/>
    <w:rsid w:val="00237C7F"/>
    <w:rsid w:val="00237D1D"/>
    <w:rsid w:val="00240021"/>
    <w:rsid w:val="002403E6"/>
    <w:rsid w:val="002404B2"/>
    <w:rsid w:val="002406DA"/>
    <w:rsid w:val="002406F5"/>
    <w:rsid w:val="002415DD"/>
    <w:rsid w:val="002417E4"/>
    <w:rsid w:val="00242E30"/>
    <w:rsid w:val="002430E6"/>
    <w:rsid w:val="002436C5"/>
    <w:rsid w:val="00243BFB"/>
    <w:rsid w:val="00243C39"/>
    <w:rsid w:val="00245C22"/>
    <w:rsid w:val="00246578"/>
    <w:rsid w:val="002502B2"/>
    <w:rsid w:val="0025128E"/>
    <w:rsid w:val="002516D0"/>
    <w:rsid w:val="0025199E"/>
    <w:rsid w:val="00252A11"/>
    <w:rsid w:val="002539CD"/>
    <w:rsid w:val="002543C5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F61"/>
    <w:rsid w:val="002640D9"/>
    <w:rsid w:val="002643E7"/>
    <w:rsid w:val="0026443A"/>
    <w:rsid w:val="00265710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5FD3"/>
    <w:rsid w:val="00276D54"/>
    <w:rsid w:val="00277309"/>
    <w:rsid w:val="00277329"/>
    <w:rsid w:val="00277541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CB4"/>
    <w:rsid w:val="002A5D1E"/>
    <w:rsid w:val="002A6A74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C0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6D3E"/>
    <w:rsid w:val="002F2398"/>
    <w:rsid w:val="002F2AA2"/>
    <w:rsid w:val="002F2BE6"/>
    <w:rsid w:val="002F3132"/>
    <w:rsid w:val="002F31C3"/>
    <w:rsid w:val="002F36C9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834"/>
    <w:rsid w:val="00316B90"/>
    <w:rsid w:val="003172AD"/>
    <w:rsid w:val="0031783B"/>
    <w:rsid w:val="00317D89"/>
    <w:rsid w:val="00317F8D"/>
    <w:rsid w:val="003205D8"/>
    <w:rsid w:val="003205E3"/>
    <w:rsid w:val="00321534"/>
    <w:rsid w:val="0032176F"/>
    <w:rsid w:val="00321973"/>
    <w:rsid w:val="00322610"/>
    <w:rsid w:val="003241C2"/>
    <w:rsid w:val="00324CCD"/>
    <w:rsid w:val="00325E0C"/>
    <w:rsid w:val="00326071"/>
    <w:rsid w:val="0032727C"/>
    <w:rsid w:val="00327567"/>
    <w:rsid w:val="00327A3B"/>
    <w:rsid w:val="00327E9A"/>
    <w:rsid w:val="0033137B"/>
    <w:rsid w:val="00331491"/>
    <w:rsid w:val="00331E7F"/>
    <w:rsid w:val="003342F2"/>
    <w:rsid w:val="0033449D"/>
    <w:rsid w:val="00334F18"/>
    <w:rsid w:val="0033574E"/>
    <w:rsid w:val="003367F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205C"/>
    <w:rsid w:val="0034264C"/>
    <w:rsid w:val="00343DD0"/>
    <w:rsid w:val="00345877"/>
    <w:rsid w:val="0034599A"/>
    <w:rsid w:val="00345B23"/>
    <w:rsid w:val="003467B9"/>
    <w:rsid w:val="0034683D"/>
    <w:rsid w:val="00346A46"/>
    <w:rsid w:val="00346D71"/>
    <w:rsid w:val="00347224"/>
    <w:rsid w:val="00350164"/>
    <w:rsid w:val="00350FC1"/>
    <w:rsid w:val="00351998"/>
    <w:rsid w:val="0035247A"/>
    <w:rsid w:val="003527E6"/>
    <w:rsid w:val="00352BA8"/>
    <w:rsid w:val="00352E43"/>
    <w:rsid w:val="0035336F"/>
    <w:rsid w:val="00353A89"/>
    <w:rsid w:val="0035542D"/>
    <w:rsid w:val="00355BB0"/>
    <w:rsid w:val="003569D8"/>
    <w:rsid w:val="00356A0E"/>
    <w:rsid w:val="0035739B"/>
    <w:rsid w:val="00357554"/>
    <w:rsid w:val="003610EF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43C"/>
    <w:rsid w:val="003657A6"/>
    <w:rsid w:val="00365DE9"/>
    <w:rsid w:val="00365F70"/>
    <w:rsid w:val="0036602C"/>
    <w:rsid w:val="00366143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F47"/>
    <w:rsid w:val="00374073"/>
    <w:rsid w:val="00374666"/>
    <w:rsid w:val="003750F9"/>
    <w:rsid w:val="00375A02"/>
    <w:rsid w:val="0037643E"/>
    <w:rsid w:val="00376676"/>
    <w:rsid w:val="00376C68"/>
    <w:rsid w:val="00376EF7"/>
    <w:rsid w:val="00377A47"/>
    <w:rsid w:val="003806D9"/>
    <w:rsid w:val="003807F6"/>
    <w:rsid w:val="00380C1D"/>
    <w:rsid w:val="00381017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4CC3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3FC"/>
    <w:rsid w:val="003D53B2"/>
    <w:rsid w:val="003D5ED5"/>
    <w:rsid w:val="003D6E64"/>
    <w:rsid w:val="003D6F3A"/>
    <w:rsid w:val="003D78EF"/>
    <w:rsid w:val="003E02C0"/>
    <w:rsid w:val="003E032E"/>
    <w:rsid w:val="003E0984"/>
    <w:rsid w:val="003E15C3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26E4"/>
    <w:rsid w:val="004028FF"/>
    <w:rsid w:val="00402AC1"/>
    <w:rsid w:val="00403183"/>
    <w:rsid w:val="004044AC"/>
    <w:rsid w:val="004044F2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FAE"/>
    <w:rsid w:val="0041620C"/>
    <w:rsid w:val="00416935"/>
    <w:rsid w:val="00421018"/>
    <w:rsid w:val="00421191"/>
    <w:rsid w:val="00421AE1"/>
    <w:rsid w:val="00422031"/>
    <w:rsid w:val="004228A9"/>
    <w:rsid w:val="00423D73"/>
    <w:rsid w:val="00425354"/>
    <w:rsid w:val="004255D9"/>
    <w:rsid w:val="004257DF"/>
    <w:rsid w:val="00426714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6D56"/>
    <w:rsid w:val="00447F70"/>
    <w:rsid w:val="00450040"/>
    <w:rsid w:val="00450246"/>
    <w:rsid w:val="0045130F"/>
    <w:rsid w:val="00453482"/>
    <w:rsid w:val="00454B85"/>
    <w:rsid w:val="004551F4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42C"/>
    <w:rsid w:val="00463571"/>
    <w:rsid w:val="00465C5C"/>
    <w:rsid w:val="00465F84"/>
    <w:rsid w:val="00466601"/>
    <w:rsid w:val="00467E59"/>
    <w:rsid w:val="00470216"/>
    <w:rsid w:val="00471407"/>
    <w:rsid w:val="00472238"/>
    <w:rsid w:val="0047268C"/>
    <w:rsid w:val="00472731"/>
    <w:rsid w:val="004733C5"/>
    <w:rsid w:val="00473582"/>
    <w:rsid w:val="0047470A"/>
    <w:rsid w:val="00474713"/>
    <w:rsid w:val="00474B88"/>
    <w:rsid w:val="004753BF"/>
    <w:rsid w:val="0047663A"/>
    <w:rsid w:val="004809A6"/>
    <w:rsid w:val="0048150A"/>
    <w:rsid w:val="004847B0"/>
    <w:rsid w:val="0048486C"/>
    <w:rsid w:val="0048499B"/>
    <w:rsid w:val="00484FA7"/>
    <w:rsid w:val="0048517C"/>
    <w:rsid w:val="0048542C"/>
    <w:rsid w:val="00486A2B"/>
    <w:rsid w:val="004873DE"/>
    <w:rsid w:val="004878DF"/>
    <w:rsid w:val="00490AB5"/>
    <w:rsid w:val="00490FDB"/>
    <w:rsid w:val="004910C8"/>
    <w:rsid w:val="004911E2"/>
    <w:rsid w:val="00491AE3"/>
    <w:rsid w:val="004920CC"/>
    <w:rsid w:val="0049249A"/>
    <w:rsid w:val="00493288"/>
    <w:rsid w:val="00493404"/>
    <w:rsid w:val="00493701"/>
    <w:rsid w:val="00493C9A"/>
    <w:rsid w:val="00495A3E"/>
    <w:rsid w:val="00496F01"/>
    <w:rsid w:val="00497714"/>
    <w:rsid w:val="004A0181"/>
    <w:rsid w:val="004A0B06"/>
    <w:rsid w:val="004A0BD5"/>
    <w:rsid w:val="004A1559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CE6"/>
    <w:rsid w:val="004A7D9D"/>
    <w:rsid w:val="004A7FB9"/>
    <w:rsid w:val="004B02D4"/>
    <w:rsid w:val="004B0454"/>
    <w:rsid w:val="004B0519"/>
    <w:rsid w:val="004B0B64"/>
    <w:rsid w:val="004B2949"/>
    <w:rsid w:val="004B2B25"/>
    <w:rsid w:val="004B37E7"/>
    <w:rsid w:val="004B3895"/>
    <w:rsid w:val="004B403A"/>
    <w:rsid w:val="004B446D"/>
    <w:rsid w:val="004B49D6"/>
    <w:rsid w:val="004B53B6"/>
    <w:rsid w:val="004B59EC"/>
    <w:rsid w:val="004B5B72"/>
    <w:rsid w:val="004B5DB2"/>
    <w:rsid w:val="004B5EEC"/>
    <w:rsid w:val="004B6BF5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712"/>
    <w:rsid w:val="004C6B4D"/>
    <w:rsid w:val="004C6B9D"/>
    <w:rsid w:val="004C7135"/>
    <w:rsid w:val="004C783B"/>
    <w:rsid w:val="004D27FA"/>
    <w:rsid w:val="004D330F"/>
    <w:rsid w:val="004D33D3"/>
    <w:rsid w:val="004D3482"/>
    <w:rsid w:val="004D38C1"/>
    <w:rsid w:val="004D51C5"/>
    <w:rsid w:val="004D65BB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07C0C"/>
    <w:rsid w:val="005102B0"/>
    <w:rsid w:val="005110B0"/>
    <w:rsid w:val="00511A1A"/>
    <w:rsid w:val="00511CEB"/>
    <w:rsid w:val="00512295"/>
    <w:rsid w:val="00512BAA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210"/>
    <w:rsid w:val="005355F3"/>
    <w:rsid w:val="005359CA"/>
    <w:rsid w:val="00535C94"/>
    <w:rsid w:val="005362B8"/>
    <w:rsid w:val="005362F4"/>
    <w:rsid w:val="00536494"/>
    <w:rsid w:val="005366CF"/>
    <w:rsid w:val="00537074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7351"/>
    <w:rsid w:val="005479DD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67BBE"/>
    <w:rsid w:val="005704DC"/>
    <w:rsid w:val="005709E9"/>
    <w:rsid w:val="00570ED7"/>
    <w:rsid w:val="005719D8"/>
    <w:rsid w:val="00571D7A"/>
    <w:rsid w:val="0057227B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EB1"/>
    <w:rsid w:val="00585F5D"/>
    <w:rsid w:val="005874AD"/>
    <w:rsid w:val="00587B61"/>
    <w:rsid w:val="00590012"/>
    <w:rsid w:val="005902E7"/>
    <w:rsid w:val="00590A3E"/>
    <w:rsid w:val="005918ED"/>
    <w:rsid w:val="00591A51"/>
    <w:rsid w:val="00592FEA"/>
    <w:rsid w:val="005939A6"/>
    <w:rsid w:val="00594043"/>
    <w:rsid w:val="005944DA"/>
    <w:rsid w:val="00594EDD"/>
    <w:rsid w:val="00594EE5"/>
    <w:rsid w:val="00596BE7"/>
    <w:rsid w:val="00597786"/>
    <w:rsid w:val="005A019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6352"/>
    <w:rsid w:val="006066B3"/>
    <w:rsid w:val="00606832"/>
    <w:rsid w:val="00606EAC"/>
    <w:rsid w:val="006072D1"/>
    <w:rsid w:val="00607AA4"/>
    <w:rsid w:val="00607EA9"/>
    <w:rsid w:val="006106B6"/>
    <w:rsid w:val="00610D23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0ECF"/>
    <w:rsid w:val="006332E7"/>
    <w:rsid w:val="0063424E"/>
    <w:rsid w:val="0063431E"/>
    <w:rsid w:val="00635033"/>
    <w:rsid w:val="0063523A"/>
    <w:rsid w:val="006364B3"/>
    <w:rsid w:val="00636655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261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337C"/>
    <w:rsid w:val="00653988"/>
    <w:rsid w:val="00654DB2"/>
    <w:rsid w:val="00655925"/>
    <w:rsid w:val="00656F81"/>
    <w:rsid w:val="00663769"/>
    <w:rsid w:val="00664CD1"/>
    <w:rsid w:val="0066538F"/>
    <w:rsid w:val="00665A89"/>
    <w:rsid w:val="00665BB0"/>
    <w:rsid w:val="00665C97"/>
    <w:rsid w:val="006661DD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CA"/>
    <w:rsid w:val="006762D1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E7C"/>
    <w:rsid w:val="006A728F"/>
    <w:rsid w:val="006A7C66"/>
    <w:rsid w:val="006B04C2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98D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40D7"/>
    <w:rsid w:val="006E47CD"/>
    <w:rsid w:val="006E52B4"/>
    <w:rsid w:val="006E5622"/>
    <w:rsid w:val="006E5939"/>
    <w:rsid w:val="006E60C9"/>
    <w:rsid w:val="006E61EB"/>
    <w:rsid w:val="006E64D7"/>
    <w:rsid w:val="006E6B9C"/>
    <w:rsid w:val="006E6C82"/>
    <w:rsid w:val="006E6CE3"/>
    <w:rsid w:val="006F0198"/>
    <w:rsid w:val="006F148C"/>
    <w:rsid w:val="006F3017"/>
    <w:rsid w:val="006F4392"/>
    <w:rsid w:val="006F5399"/>
    <w:rsid w:val="006F5BD1"/>
    <w:rsid w:val="006F636B"/>
    <w:rsid w:val="00700C43"/>
    <w:rsid w:val="00700EA5"/>
    <w:rsid w:val="00701A9E"/>
    <w:rsid w:val="00701E90"/>
    <w:rsid w:val="007020A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194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4D"/>
    <w:rsid w:val="007257D3"/>
    <w:rsid w:val="0072585C"/>
    <w:rsid w:val="00726038"/>
    <w:rsid w:val="007261BF"/>
    <w:rsid w:val="0072682D"/>
    <w:rsid w:val="0072718F"/>
    <w:rsid w:val="007312E7"/>
    <w:rsid w:val="00732981"/>
    <w:rsid w:val="0073322D"/>
    <w:rsid w:val="00733DA2"/>
    <w:rsid w:val="007342D3"/>
    <w:rsid w:val="00734D44"/>
    <w:rsid w:val="00735035"/>
    <w:rsid w:val="00735072"/>
    <w:rsid w:val="00735AD4"/>
    <w:rsid w:val="00736026"/>
    <w:rsid w:val="00736DD4"/>
    <w:rsid w:val="00740116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12B"/>
    <w:rsid w:val="007456F1"/>
    <w:rsid w:val="00745D61"/>
    <w:rsid w:val="00746991"/>
    <w:rsid w:val="00746FF9"/>
    <w:rsid w:val="00750053"/>
    <w:rsid w:val="007501BF"/>
    <w:rsid w:val="00751BA7"/>
    <w:rsid w:val="00751C6B"/>
    <w:rsid w:val="00753E09"/>
    <w:rsid w:val="00754613"/>
    <w:rsid w:val="00756F5D"/>
    <w:rsid w:val="0075717C"/>
    <w:rsid w:val="007575C6"/>
    <w:rsid w:val="00760038"/>
    <w:rsid w:val="0076069B"/>
    <w:rsid w:val="00760AB2"/>
    <w:rsid w:val="00761495"/>
    <w:rsid w:val="007615D6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CD1"/>
    <w:rsid w:val="00767EA5"/>
    <w:rsid w:val="007709AE"/>
    <w:rsid w:val="00771B4E"/>
    <w:rsid w:val="00774119"/>
    <w:rsid w:val="007750EA"/>
    <w:rsid w:val="007751D5"/>
    <w:rsid w:val="00775E9D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718C"/>
    <w:rsid w:val="007A7B4F"/>
    <w:rsid w:val="007A7E9F"/>
    <w:rsid w:val="007B08C8"/>
    <w:rsid w:val="007B0AD8"/>
    <w:rsid w:val="007B0B37"/>
    <w:rsid w:val="007B10A2"/>
    <w:rsid w:val="007B1486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19C6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ACB"/>
    <w:rsid w:val="007F6F57"/>
    <w:rsid w:val="007F7317"/>
    <w:rsid w:val="00800E62"/>
    <w:rsid w:val="00801863"/>
    <w:rsid w:val="0080229F"/>
    <w:rsid w:val="00803498"/>
    <w:rsid w:val="00803AC9"/>
    <w:rsid w:val="0080473B"/>
    <w:rsid w:val="00804C21"/>
    <w:rsid w:val="008050DF"/>
    <w:rsid w:val="00805B0A"/>
    <w:rsid w:val="00805F80"/>
    <w:rsid w:val="00806FBF"/>
    <w:rsid w:val="00810230"/>
    <w:rsid w:val="008107A3"/>
    <w:rsid w:val="00811ECE"/>
    <w:rsid w:val="00811F44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45A4"/>
    <w:rsid w:val="00834AA4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4214"/>
    <w:rsid w:val="00844977"/>
    <w:rsid w:val="00844F53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5C1C"/>
    <w:rsid w:val="00855FA6"/>
    <w:rsid w:val="00856B7F"/>
    <w:rsid w:val="00856E91"/>
    <w:rsid w:val="00857269"/>
    <w:rsid w:val="00860FE1"/>
    <w:rsid w:val="00861335"/>
    <w:rsid w:val="00861891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6448"/>
    <w:rsid w:val="00896790"/>
    <w:rsid w:val="0089684D"/>
    <w:rsid w:val="00897F25"/>
    <w:rsid w:val="008A1A47"/>
    <w:rsid w:val="008A25E0"/>
    <w:rsid w:val="008A3ABE"/>
    <w:rsid w:val="008A3B06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289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435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590"/>
    <w:rsid w:val="009456D1"/>
    <w:rsid w:val="00945D42"/>
    <w:rsid w:val="009460E6"/>
    <w:rsid w:val="00946F65"/>
    <w:rsid w:val="00947458"/>
    <w:rsid w:val="0094790A"/>
    <w:rsid w:val="00950203"/>
    <w:rsid w:val="00951FF9"/>
    <w:rsid w:val="0095209D"/>
    <w:rsid w:val="009522A5"/>
    <w:rsid w:val="00953D44"/>
    <w:rsid w:val="00954E89"/>
    <w:rsid w:val="009559BF"/>
    <w:rsid w:val="00955AB4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6B5"/>
    <w:rsid w:val="00981E1D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88D"/>
    <w:rsid w:val="00994C5E"/>
    <w:rsid w:val="0099601B"/>
    <w:rsid w:val="0099659B"/>
    <w:rsid w:val="0099667D"/>
    <w:rsid w:val="00996C20"/>
    <w:rsid w:val="00996C75"/>
    <w:rsid w:val="00997B08"/>
    <w:rsid w:val="00997D52"/>
    <w:rsid w:val="009A0234"/>
    <w:rsid w:val="009A0AF6"/>
    <w:rsid w:val="009A10E1"/>
    <w:rsid w:val="009A12C2"/>
    <w:rsid w:val="009A20D1"/>
    <w:rsid w:val="009A2730"/>
    <w:rsid w:val="009A3439"/>
    <w:rsid w:val="009A34B0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425B"/>
    <w:rsid w:val="009B4269"/>
    <w:rsid w:val="009B44B7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33E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6030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96F"/>
    <w:rsid w:val="009F5ACB"/>
    <w:rsid w:val="00A00384"/>
    <w:rsid w:val="00A006E5"/>
    <w:rsid w:val="00A01B45"/>
    <w:rsid w:val="00A01F43"/>
    <w:rsid w:val="00A0253F"/>
    <w:rsid w:val="00A0254F"/>
    <w:rsid w:val="00A02E79"/>
    <w:rsid w:val="00A05E15"/>
    <w:rsid w:val="00A060B5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6F5A"/>
    <w:rsid w:val="00A37755"/>
    <w:rsid w:val="00A37E4F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433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B0E"/>
    <w:rsid w:val="00A60F37"/>
    <w:rsid w:val="00A60F46"/>
    <w:rsid w:val="00A61124"/>
    <w:rsid w:val="00A614FF"/>
    <w:rsid w:val="00A61DC4"/>
    <w:rsid w:val="00A62736"/>
    <w:rsid w:val="00A6421D"/>
    <w:rsid w:val="00A6439A"/>
    <w:rsid w:val="00A64506"/>
    <w:rsid w:val="00A66E38"/>
    <w:rsid w:val="00A67139"/>
    <w:rsid w:val="00A6722A"/>
    <w:rsid w:val="00A70011"/>
    <w:rsid w:val="00A701DE"/>
    <w:rsid w:val="00A70D2A"/>
    <w:rsid w:val="00A71450"/>
    <w:rsid w:val="00A7184C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57"/>
    <w:rsid w:val="00A803CD"/>
    <w:rsid w:val="00A8105A"/>
    <w:rsid w:val="00A8106A"/>
    <w:rsid w:val="00A81403"/>
    <w:rsid w:val="00A81DE4"/>
    <w:rsid w:val="00A81E1B"/>
    <w:rsid w:val="00A82948"/>
    <w:rsid w:val="00A82CF5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223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6F3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056"/>
    <w:rsid w:val="00AA6262"/>
    <w:rsid w:val="00AA687E"/>
    <w:rsid w:val="00AA69D1"/>
    <w:rsid w:val="00AA6F27"/>
    <w:rsid w:val="00AA70E8"/>
    <w:rsid w:val="00AA7672"/>
    <w:rsid w:val="00AA7B2D"/>
    <w:rsid w:val="00AB0121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584"/>
    <w:rsid w:val="00AD18EE"/>
    <w:rsid w:val="00AD1C31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2B5C"/>
    <w:rsid w:val="00AE4798"/>
    <w:rsid w:val="00AE4826"/>
    <w:rsid w:val="00AE4C77"/>
    <w:rsid w:val="00AE4DDD"/>
    <w:rsid w:val="00AE4DFA"/>
    <w:rsid w:val="00AE79FF"/>
    <w:rsid w:val="00AF00F4"/>
    <w:rsid w:val="00AF109C"/>
    <w:rsid w:val="00AF1149"/>
    <w:rsid w:val="00AF1176"/>
    <w:rsid w:val="00AF2B68"/>
    <w:rsid w:val="00AF32A1"/>
    <w:rsid w:val="00AF4796"/>
    <w:rsid w:val="00AF66D1"/>
    <w:rsid w:val="00AF7A16"/>
    <w:rsid w:val="00B00995"/>
    <w:rsid w:val="00B0176F"/>
    <w:rsid w:val="00B0226D"/>
    <w:rsid w:val="00B0264B"/>
    <w:rsid w:val="00B02D06"/>
    <w:rsid w:val="00B02FC2"/>
    <w:rsid w:val="00B0377F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17"/>
    <w:rsid w:val="00B10154"/>
    <w:rsid w:val="00B107AA"/>
    <w:rsid w:val="00B10E7D"/>
    <w:rsid w:val="00B11CCA"/>
    <w:rsid w:val="00B12879"/>
    <w:rsid w:val="00B14DB9"/>
    <w:rsid w:val="00B14FFE"/>
    <w:rsid w:val="00B15D3A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1A6"/>
    <w:rsid w:val="00B2624D"/>
    <w:rsid w:val="00B26280"/>
    <w:rsid w:val="00B26521"/>
    <w:rsid w:val="00B27B49"/>
    <w:rsid w:val="00B300F1"/>
    <w:rsid w:val="00B3100D"/>
    <w:rsid w:val="00B317F4"/>
    <w:rsid w:val="00B31F81"/>
    <w:rsid w:val="00B3244F"/>
    <w:rsid w:val="00B326AA"/>
    <w:rsid w:val="00B32D7D"/>
    <w:rsid w:val="00B337FB"/>
    <w:rsid w:val="00B35776"/>
    <w:rsid w:val="00B358EC"/>
    <w:rsid w:val="00B35968"/>
    <w:rsid w:val="00B3628A"/>
    <w:rsid w:val="00B37213"/>
    <w:rsid w:val="00B378F4"/>
    <w:rsid w:val="00B37C32"/>
    <w:rsid w:val="00B40519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6CF"/>
    <w:rsid w:val="00B53A8B"/>
    <w:rsid w:val="00B54915"/>
    <w:rsid w:val="00B54AA6"/>
    <w:rsid w:val="00B550C7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75C8"/>
    <w:rsid w:val="00B677C8"/>
    <w:rsid w:val="00B67BF1"/>
    <w:rsid w:val="00B70D7F"/>
    <w:rsid w:val="00B70F14"/>
    <w:rsid w:val="00B71498"/>
    <w:rsid w:val="00B7231A"/>
    <w:rsid w:val="00B73EAB"/>
    <w:rsid w:val="00B74389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2D5A"/>
    <w:rsid w:val="00B83147"/>
    <w:rsid w:val="00B840A8"/>
    <w:rsid w:val="00B8432D"/>
    <w:rsid w:val="00B846ED"/>
    <w:rsid w:val="00B84A8F"/>
    <w:rsid w:val="00B84AAB"/>
    <w:rsid w:val="00B859FC"/>
    <w:rsid w:val="00B85FA3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0246"/>
    <w:rsid w:val="00BC1637"/>
    <w:rsid w:val="00BC2268"/>
    <w:rsid w:val="00BC238F"/>
    <w:rsid w:val="00BC2764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13E4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E0C2F"/>
    <w:rsid w:val="00BE1E76"/>
    <w:rsid w:val="00BE2F93"/>
    <w:rsid w:val="00BE30EC"/>
    <w:rsid w:val="00BE3174"/>
    <w:rsid w:val="00BE3B6F"/>
    <w:rsid w:val="00BE3DB3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6B0"/>
    <w:rsid w:val="00BF2C27"/>
    <w:rsid w:val="00BF2D82"/>
    <w:rsid w:val="00BF35E6"/>
    <w:rsid w:val="00BF373F"/>
    <w:rsid w:val="00BF3A61"/>
    <w:rsid w:val="00BF40EC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77"/>
    <w:rsid w:val="00C028D9"/>
    <w:rsid w:val="00C02AFB"/>
    <w:rsid w:val="00C03746"/>
    <w:rsid w:val="00C04012"/>
    <w:rsid w:val="00C04E95"/>
    <w:rsid w:val="00C05B6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816"/>
    <w:rsid w:val="00C34938"/>
    <w:rsid w:val="00C34A20"/>
    <w:rsid w:val="00C34BD1"/>
    <w:rsid w:val="00C350B2"/>
    <w:rsid w:val="00C35375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2DB2"/>
    <w:rsid w:val="00C65346"/>
    <w:rsid w:val="00C66002"/>
    <w:rsid w:val="00C661D9"/>
    <w:rsid w:val="00C66FE7"/>
    <w:rsid w:val="00C6702A"/>
    <w:rsid w:val="00C67042"/>
    <w:rsid w:val="00C6783B"/>
    <w:rsid w:val="00C67B78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A0A"/>
    <w:rsid w:val="00C917CF"/>
    <w:rsid w:val="00C9222D"/>
    <w:rsid w:val="00C923AC"/>
    <w:rsid w:val="00C92B62"/>
    <w:rsid w:val="00C944E5"/>
    <w:rsid w:val="00C94BB9"/>
    <w:rsid w:val="00C94E5F"/>
    <w:rsid w:val="00C967BA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5F3E"/>
    <w:rsid w:val="00CB7092"/>
    <w:rsid w:val="00CB7380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48C0"/>
    <w:rsid w:val="00CC4E5D"/>
    <w:rsid w:val="00CC5129"/>
    <w:rsid w:val="00CC5276"/>
    <w:rsid w:val="00CC61F2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2C77"/>
    <w:rsid w:val="00CE5118"/>
    <w:rsid w:val="00CE5645"/>
    <w:rsid w:val="00CE5862"/>
    <w:rsid w:val="00CE7276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7D2"/>
    <w:rsid w:val="00D03B33"/>
    <w:rsid w:val="00D04494"/>
    <w:rsid w:val="00D0533D"/>
    <w:rsid w:val="00D053C8"/>
    <w:rsid w:val="00D058F5"/>
    <w:rsid w:val="00D068CB"/>
    <w:rsid w:val="00D10042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90F"/>
    <w:rsid w:val="00D16FC3"/>
    <w:rsid w:val="00D17645"/>
    <w:rsid w:val="00D17A81"/>
    <w:rsid w:val="00D20881"/>
    <w:rsid w:val="00D20B66"/>
    <w:rsid w:val="00D20D7B"/>
    <w:rsid w:val="00D21FD4"/>
    <w:rsid w:val="00D2341F"/>
    <w:rsid w:val="00D24408"/>
    <w:rsid w:val="00D253D7"/>
    <w:rsid w:val="00D2579B"/>
    <w:rsid w:val="00D265B1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A2B"/>
    <w:rsid w:val="00D3646A"/>
    <w:rsid w:val="00D36819"/>
    <w:rsid w:val="00D37614"/>
    <w:rsid w:val="00D37A83"/>
    <w:rsid w:val="00D37F23"/>
    <w:rsid w:val="00D400BD"/>
    <w:rsid w:val="00D400C0"/>
    <w:rsid w:val="00D404CF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41C"/>
    <w:rsid w:val="00D47B95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2D4D"/>
    <w:rsid w:val="00D65089"/>
    <w:rsid w:val="00D65DC2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04"/>
    <w:rsid w:val="00DA371D"/>
    <w:rsid w:val="00DA3CB0"/>
    <w:rsid w:val="00DA420C"/>
    <w:rsid w:val="00DA422E"/>
    <w:rsid w:val="00DA439C"/>
    <w:rsid w:val="00DA508C"/>
    <w:rsid w:val="00DA61F5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5014"/>
    <w:rsid w:val="00DB529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2E2"/>
    <w:rsid w:val="00DD7CA9"/>
    <w:rsid w:val="00DE0228"/>
    <w:rsid w:val="00DE1F2F"/>
    <w:rsid w:val="00DE27C6"/>
    <w:rsid w:val="00DE32D4"/>
    <w:rsid w:val="00DE4028"/>
    <w:rsid w:val="00DE51CC"/>
    <w:rsid w:val="00DE6179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638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CF4"/>
    <w:rsid w:val="00E1322F"/>
    <w:rsid w:val="00E13DCC"/>
    <w:rsid w:val="00E159A1"/>
    <w:rsid w:val="00E159A2"/>
    <w:rsid w:val="00E15F70"/>
    <w:rsid w:val="00E16087"/>
    <w:rsid w:val="00E16871"/>
    <w:rsid w:val="00E1687A"/>
    <w:rsid w:val="00E16DBD"/>
    <w:rsid w:val="00E1777E"/>
    <w:rsid w:val="00E178D9"/>
    <w:rsid w:val="00E17CE8"/>
    <w:rsid w:val="00E204FF"/>
    <w:rsid w:val="00E20617"/>
    <w:rsid w:val="00E20977"/>
    <w:rsid w:val="00E2463E"/>
    <w:rsid w:val="00E24CCB"/>
    <w:rsid w:val="00E25AF6"/>
    <w:rsid w:val="00E26C49"/>
    <w:rsid w:val="00E26D14"/>
    <w:rsid w:val="00E26E25"/>
    <w:rsid w:val="00E26EB6"/>
    <w:rsid w:val="00E275A6"/>
    <w:rsid w:val="00E30CEF"/>
    <w:rsid w:val="00E311D5"/>
    <w:rsid w:val="00E31635"/>
    <w:rsid w:val="00E31E2D"/>
    <w:rsid w:val="00E32DC4"/>
    <w:rsid w:val="00E334CF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4CD"/>
    <w:rsid w:val="00E5368B"/>
    <w:rsid w:val="00E55A14"/>
    <w:rsid w:val="00E564B8"/>
    <w:rsid w:val="00E56674"/>
    <w:rsid w:val="00E568F1"/>
    <w:rsid w:val="00E5695E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2159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96D"/>
    <w:rsid w:val="00E8517A"/>
    <w:rsid w:val="00E865B6"/>
    <w:rsid w:val="00E876CB"/>
    <w:rsid w:val="00E901C9"/>
    <w:rsid w:val="00E904A8"/>
    <w:rsid w:val="00E90AC7"/>
    <w:rsid w:val="00E90FFE"/>
    <w:rsid w:val="00E91387"/>
    <w:rsid w:val="00E92FE4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C33"/>
    <w:rsid w:val="00EA3DFB"/>
    <w:rsid w:val="00EA3E6E"/>
    <w:rsid w:val="00EA5913"/>
    <w:rsid w:val="00EA5B95"/>
    <w:rsid w:val="00EA6F57"/>
    <w:rsid w:val="00EA7817"/>
    <w:rsid w:val="00EA7C69"/>
    <w:rsid w:val="00EB02EB"/>
    <w:rsid w:val="00EB05FF"/>
    <w:rsid w:val="00EB1A5E"/>
    <w:rsid w:val="00EB1BC9"/>
    <w:rsid w:val="00EB219E"/>
    <w:rsid w:val="00EB2756"/>
    <w:rsid w:val="00EB27CB"/>
    <w:rsid w:val="00EB2D06"/>
    <w:rsid w:val="00EB3318"/>
    <w:rsid w:val="00EB40F2"/>
    <w:rsid w:val="00EB42FA"/>
    <w:rsid w:val="00EB496E"/>
    <w:rsid w:val="00EB4A19"/>
    <w:rsid w:val="00EB6D20"/>
    <w:rsid w:val="00EB6D80"/>
    <w:rsid w:val="00EC02F3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119"/>
    <w:rsid w:val="00EF34FF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1469"/>
    <w:rsid w:val="00F2162C"/>
    <w:rsid w:val="00F21729"/>
    <w:rsid w:val="00F2187E"/>
    <w:rsid w:val="00F221AF"/>
    <w:rsid w:val="00F23B66"/>
    <w:rsid w:val="00F23EFB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19F0"/>
    <w:rsid w:val="00F31D0F"/>
    <w:rsid w:val="00F32B04"/>
    <w:rsid w:val="00F32BCC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6734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38A9"/>
    <w:rsid w:val="00F648F9"/>
    <w:rsid w:val="00F656A7"/>
    <w:rsid w:val="00F6716E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517C"/>
    <w:rsid w:val="00F95189"/>
    <w:rsid w:val="00F954CE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746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0A9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1692-C9F2-4F23-965B-35AA894E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2540</TotalTime>
  <Pages>9</Pages>
  <Words>571</Words>
  <Characters>3259</Characters>
  <Application>Microsoft Office Word</Application>
  <DocSecurity>0</DocSecurity>
  <Lines>27</Lines>
  <Paragraphs>7</Paragraphs>
  <ScaleCrop>false</ScaleCrop>
  <Company>cicc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52</cp:revision>
  <cp:lastPrinted>2014-12-12T08:51:00Z</cp:lastPrinted>
  <dcterms:created xsi:type="dcterms:W3CDTF">2017-02-09T08:52:00Z</dcterms:created>
  <dcterms:modified xsi:type="dcterms:W3CDTF">2017-07-18T07:38:00Z</dcterms:modified>
</cp:coreProperties>
</file>