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312" w:line="240" w:lineRule="auto"/>
        <w:ind w:left="0" w:right="0" w:firstLine="0"/>
        <w:jc w:val="center"/>
        <w:rPr>
          <w:rFonts w:ascii="文鼎小标宋简" w:hAnsi="文鼎小标宋简" w:eastAsia="文鼎小标宋简" w:cs="文鼎小标宋简"/>
          <w:color w:val="auto"/>
          <w:spacing w:val="0"/>
          <w:position w:val="0"/>
          <w:sz w:val="44"/>
          <w:shd w:val="clear" w:fill="auto"/>
        </w:rPr>
      </w:pPr>
      <w:r>
        <w:rPr>
          <w:rFonts w:ascii="宋体" w:hAnsi="宋体" w:eastAsia="宋体" w:cs="宋体"/>
          <w:color w:val="auto"/>
          <w:spacing w:val="0"/>
          <w:position w:val="0"/>
          <w:sz w:val="44"/>
          <w:shd w:val="clear" w:fill="auto"/>
        </w:rPr>
        <w:t>通惠期货有限公司</w:t>
      </w:r>
      <w:r>
        <w:rPr>
          <w:rFonts w:ascii="文鼎小标宋简" w:hAnsi="文鼎小标宋简" w:eastAsia="文鼎小标宋简" w:cs="文鼎小标宋简"/>
          <w:color w:val="auto"/>
          <w:spacing w:val="0"/>
          <w:position w:val="0"/>
          <w:sz w:val="44"/>
          <w:shd w:val="clear" w:fill="auto"/>
        </w:rPr>
        <w:br w:type="textWrapping"/>
      </w:r>
      <w:r>
        <w:rPr>
          <w:rFonts w:ascii="宋体" w:hAnsi="宋体" w:eastAsia="宋体" w:cs="宋体"/>
          <w:color w:val="auto"/>
          <w:spacing w:val="0"/>
          <w:position w:val="0"/>
          <w:sz w:val="44"/>
          <w:shd w:val="clear" w:fill="auto"/>
        </w:rPr>
        <w:t>诚信记录信息</w:t>
      </w:r>
    </w:p>
    <w:tbl>
      <w:tblPr>
        <w:tblStyle w:val="2"/>
        <w:tblW w:w="0" w:type="auto"/>
        <w:tblInd w:w="15" w:type="dxa"/>
        <w:tblLayout w:type="autofit"/>
        <w:tblCellMar>
          <w:top w:w="0" w:type="dxa"/>
          <w:left w:w="10" w:type="dxa"/>
          <w:bottom w:w="0" w:type="dxa"/>
          <w:right w:w="10" w:type="dxa"/>
        </w:tblCellMar>
      </w:tblPr>
      <w:tblGrid>
        <w:gridCol w:w="835"/>
        <w:gridCol w:w="825"/>
        <w:gridCol w:w="1326"/>
        <w:gridCol w:w="1644"/>
        <w:gridCol w:w="3669"/>
      </w:tblGrid>
      <w:tr>
        <w:tblPrEx>
          <w:tblCellMar>
            <w:top w:w="0" w:type="dxa"/>
            <w:left w:w="10" w:type="dxa"/>
            <w:bottom w:w="0" w:type="dxa"/>
            <w:right w:w="10" w:type="dxa"/>
          </w:tblCellMar>
        </w:tblPrEx>
        <w:trPr>
          <w:trHeight w:val="0" w:hRule="atLeast"/>
        </w:trPr>
        <w:tc>
          <w:tcPr>
            <w:tcW w:w="1119" w:type="dxa"/>
            <w:tcBorders>
              <w:top w:val="single" w:color="7BA0CD" w:sz="6" w:space="0"/>
              <w:left w:val="single" w:color="7BA0CD" w:sz="6" w:space="0"/>
              <w:bottom w:val="single" w:color="7BA0CD" w:sz="6" w:space="0"/>
              <w:right w:val="single" w:color="7BA0CD" w:sz="6" w:space="0"/>
            </w:tcBorders>
            <w:shd w:val="clear" w:color="auto" w:fill="4F81BD"/>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b/>
                <w:color w:val="FFFFFF"/>
                <w:spacing w:val="0"/>
                <w:position w:val="0"/>
                <w:sz w:val="21"/>
                <w:shd w:val="clear" w:fill="auto"/>
              </w:rPr>
              <w:t>时间</w:t>
            </w:r>
          </w:p>
        </w:tc>
        <w:tc>
          <w:tcPr>
            <w:tcW w:w="1399" w:type="dxa"/>
            <w:tcBorders>
              <w:top w:val="single" w:color="7BA0CD" w:sz="6" w:space="0"/>
              <w:left w:val="single" w:color="7BA0CD" w:sz="6" w:space="0"/>
              <w:bottom w:val="single" w:color="7BA0CD" w:sz="6" w:space="0"/>
              <w:right w:val="single" w:color="7BA0CD" w:sz="6" w:space="0"/>
            </w:tcBorders>
            <w:shd w:val="clear" w:color="auto" w:fill="4F81BD"/>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b/>
                <w:color w:val="FFFFFF"/>
                <w:spacing w:val="0"/>
                <w:position w:val="0"/>
                <w:sz w:val="21"/>
                <w:shd w:val="clear" w:fill="auto"/>
              </w:rPr>
              <w:t>类别</w:t>
            </w:r>
          </w:p>
        </w:tc>
        <w:tc>
          <w:tcPr>
            <w:tcW w:w="2378" w:type="dxa"/>
            <w:tcBorders>
              <w:top w:val="single" w:color="7BA0CD" w:sz="6" w:space="0"/>
              <w:left w:val="single" w:color="7BA0CD" w:sz="6" w:space="0"/>
              <w:bottom w:val="single" w:color="7BA0CD" w:sz="6" w:space="0"/>
              <w:right w:val="single" w:color="7BA0CD" w:sz="6" w:space="0"/>
            </w:tcBorders>
            <w:shd w:val="clear" w:color="auto" w:fill="4F81BD"/>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b/>
                <w:color w:val="FFFFFF"/>
                <w:spacing w:val="0"/>
                <w:position w:val="0"/>
                <w:sz w:val="21"/>
                <w:shd w:val="clear" w:fill="auto"/>
              </w:rPr>
              <w:t>实施机关</w:t>
            </w:r>
          </w:p>
        </w:tc>
        <w:tc>
          <w:tcPr>
            <w:tcW w:w="2378" w:type="dxa"/>
            <w:tcBorders>
              <w:top w:val="single" w:color="7BA0CD" w:sz="6" w:space="0"/>
              <w:left w:val="single" w:color="7BA0CD" w:sz="6" w:space="0"/>
              <w:bottom w:val="single" w:color="7BA0CD" w:sz="6" w:space="0"/>
              <w:right w:val="single" w:color="7BA0CD" w:sz="6" w:space="0"/>
            </w:tcBorders>
            <w:shd w:val="clear" w:color="auto" w:fill="4F81BD"/>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b/>
                <w:color w:val="FFFFFF"/>
                <w:spacing w:val="0"/>
                <w:position w:val="0"/>
                <w:sz w:val="21"/>
                <w:shd w:val="clear" w:fill="auto"/>
              </w:rPr>
              <w:t>文号</w:t>
            </w:r>
          </w:p>
        </w:tc>
        <w:tc>
          <w:tcPr>
            <w:tcW w:w="6714" w:type="dxa"/>
            <w:tcBorders>
              <w:top w:val="single" w:color="7BA0CD" w:sz="6" w:space="0"/>
              <w:left w:val="single" w:color="7BA0CD" w:sz="6" w:space="0"/>
              <w:bottom w:val="single" w:color="7BA0CD" w:sz="6" w:space="0"/>
              <w:right w:val="single" w:color="7BA0CD" w:sz="6" w:space="0"/>
            </w:tcBorders>
            <w:shd w:val="clear" w:color="auto" w:fill="4F81BD"/>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b/>
                <w:color w:val="FFFFFF"/>
                <w:spacing w:val="0"/>
                <w:position w:val="0"/>
                <w:sz w:val="21"/>
                <w:shd w:val="clear" w:fill="auto"/>
              </w:rPr>
              <w:t>情况简介(200字以内)</w:t>
            </w:r>
          </w:p>
        </w:tc>
      </w:tr>
      <w:tr>
        <w:tblPrEx>
          <w:tblCellMar>
            <w:top w:w="0" w:type="dxa"/>
            <w:left w:w="10" w:type="dxa"/>
            <w:bottom w:w="0" w:type="dxa"/>
            <w:right w:w="10" w:type="dxa"/>
          </w:tblCellMar>
        </w:tblPrEx>
        <w:trPr>
          <w:trHeight w:val="0" w:hRule="atLeast"/>
        </w:trPr>
        <w:tc>
          <w:tcPr>
            <w:tcW w:w="1119"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center"/>
              <w:rPr>
                <w:spacing w:val="0"/>
                <w:position w:val="0"/>
              </w:rPr>
            </w:pPr>
            <w:r>
              <w:rPr>
                <w:rFonts w:hint="eastAsia" w:ascii="微软雅黑" w:hAnsi="微软雅黑" w:eastAsia="微软雅黑" w:cs="宋体"/>
                <w:b/>
                <w:bCs/>
                <w:color w:val="444444"/>
                <w:kern w:val="0"/>
                <w:sz w:val="18"/>
                <w:szCs w:val="18"/>
              </w:rPr>
              <w:t>2</w:t>
            </w:r>
            <w:r>
              <w:rPr>
                <w:rFonts w:ascii="微软雅黑" w:hAnsi="微软雅黑" w:eastAsia="微软雅黑" w:cs="宋体"/>
                <w:b/>
                <w:bCs/>
                <w:color w:val="444444"/>
                <w:kern w:val="0"/>
                <w:sz w:val="18"/>
                <w:szCs w:val="18"/>
              </w:rPr>
              <w:t>02</w:t>
            </w:r>
            <w:r>
              <w:rPr>
                <w:rFonts w:hint="eastAsia" w:ascii="微软雅黑" w:hAnsi="微软雅黑" w:eastAsia="微软雅黑" w:cs="宋体"/>
                <w:b/>
                <w:bCs/>
                <w:color w:val="444444"/>
                <w:kern w:val="0"/>
                <w:sz w:val="18"/>
                <w:szCs w:val="18"/>
                <w:lang w:val="en-US" w:eastAsia="zh-CN"/>
              </w:rPr>
              <w:t>2</w:t>
            </w:r>
            <w:r>
              <w:rPr>
                <w:rFonts w:hint="eastAsia" w:ascii="微软雅黑" w:hAnsi="微软雅黑" w:eastAsia="微软雅黑" w:cs="宋体"/>
                <w:b/>
                <w:bCs/>
                <w:color w:val="444444"/>
                <w:kern w:val="0"/>
                <w:sz w:val="18"/>
                <w:szCs w:val="18"/>
              </w:rPr>
              <w:t>-</w:t>
            </w:r>
            <w:r>
              <w:rPr>
                <w:rFonts w:hint="eastAsia" w:ascii="微软雅黑" w:hAnsi="微软雅黑" w:eastAsia="微软雅黑" w:cs="宋体"/>
                <w:b/>
                <w:bCs/>
                <w:color w:val="444444"/>
                <w:kern w:val="0"/>
                <w:sz w:val="18"/>
                <w:szCs w:val="18"/>
                <w:lang w:val="en-US" w:eastAsia="zh-CN"/>
              </w:rPr>
              <w:t>9</w:t>
            </w:r>
            <w:r>
              <w:rPr>
                <w:rFonts w:ascii="微软雅黑" w:hAnsi="微软雅黑" w:eastAsia="微软雅黑" w:cs="宋体"/>
                <w:b/>
                <w:bCs/>
                <w:color w:val="444444"/>
                <w:kern w:val="0"/>
                <w:sz w:val="18"/>
                <w:szCs w:val="18"/>
              </w:rPr>
              <w:t>-</w:t>
            </w:r>
            <w:r>
              <w:rPr>
                <w:rFonts w:hint="eastAsia" w:ascii="微软雅黑" w:hAnsi="微软雅黑" w:eastAsia="微软雅黑" w:cs="宋体"/>
                <w:b/>
                <w:bCs/>
                <w:color w:val="444444"/>
                <w:kern w:val="0"/>
                <w:sz w:val="18"/>
                <w:szCs w:val="18"/>
                <w:lang w:val="en-US" w:eastAsia="zh-CN"/>
              </w:rPr>
              <w:t>23</w:t>
            </w:r>
          </w:p>
        </w:tc>
        <w:tc>
          <w:tcPr>
            <w:tcW w:w="1399"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center"/>
              <w:rPr>
                <w:spacing w:val="0"/>
                <w:position w:val="0"/>
                <w:shd w:val="clear" w:fill="auto"/>
              </w:rPr>
            </w:pPr>
            <w:r>
              <w:rPr>
                <w:rFonts w:ascii="微软雅黑" w:hAnsi="微软雅黑" w:eastAsia="微软雅黑" w:cs="微软雅黑"/>
                <w:color w:val="444444"/>
                <w:spacing w:val="0"/>
                <w:position w:val="0"/>
                <w:sz w:val="18"/>
                <w:shd w:val="clear" w:fill="auto"/>
              </w:rPr>
              <w:t>行政监管措施决定书</w:t>
            </w:r>
          </w:p>
        </w:tc>
        <w:tc>
          <w:tcPr>
            <w:tcW w:w="2378"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center"/>
              <w:rPr>
                <w:spacing w:val="0"/>
                <w:position w:val="0"/>
              </w:rPr>
            </w:pPr>
            <w:r>
              <w:rPr>
                <w:rFonts w:hint="eastAsia" w:ascii="微软雅黑" w:hAnsi="微软雅黑" w:eastAsia="微软雅黑" w:cs="宋体"/>
                <w:color w:val="444444"/>
                <w:kern w:val="0"/>
                <w:sz w:val="18"/>
                <w:szCs w:val="18"/>
              </w:rPr>
              <w:t>国证券监督管理委员会上海监管局</w:t>
            </w:r>
          </w:p>
        </w:tc>
        <w:tc>
          <w:tcPr>
            <w:tcW w:w="2378"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center"/>
              <w:rPr>
                <w:spacing w:val="0"/>
                <w:position w:val="0"/>
              </w:rPr>
            </w:pPr>
            <w:r>
              <w:rPr>
                <w:rFonts w:hint="eastAsia" w:ascii="微软雅黑" w:hAnsi="微软雅黑" w:eastAsia="微软雅黑" w:cs="宋体"/>
                <w:color w:val="444444"/>
                <w:kern w:val="0"/>
                <w:sz w:val="18"/>
                <w:szCs w:val="18"/>
              </w:rPr>
              <w:t>沪证监决【2</w:t>
            </w:r>
            <w:r>
              <w:rPr>
                <w:rFonts w:ascii="微软雅黑" w:hAnsi="微软雅黑" w:eastAsia="微软雅黑" w:cs="宋体"/>
                <w:color w:val="444444"/>
                <w:kern w:val="0"/>
                <w:sz w:val="18"/>
                <w:szCs w:val="18"/>
              </w:rPr>
              <w:t>02</w:t>
            </w:r>
            <w:r>
              <w:rPr>
                <w:rFonts w:hint="eastAsia" w:ascii="微软雅黑" w:hAnsi="微软雅黑" w:eastAsia="微软雅黑" w:cs="宋体"/>
                <w:color w:val="444444"/>
                <w:kern w:val="0"/>
                <w:sz w:val="18"/>
                <w:szCs w:val="18"/>
                <w:lang w:val="en-US" w:eastAsia="zh-CN"/>
              </w:rPr>
              <w:t>2</w:t>
            </w:r>
            <w:r>
              <w:rPr>
                <w:rFonts w:hint="eastAsia" w:ascii="微软雅黑" w:hAnsi="微软雅黑" w:eastAsia="微软雅黑" w:cs="宋体"/>
                <w:color w:val="444444"/>
                <w:kern w:val="0"/>
                <w:sz w:val="18"/>
                <w:szCs w:val="18"/>
              </w:rPr>
              <w:t>】</w:t>
            </w:r>
            <w:r>
              <w:rPr>
                <w:rFonts w:hint="eastAsia" w:ascii="微软雅黑" w:hAnsi="微软雅黑" w:eastAsia="微软雅黑" w:cs="宋体"/>
                <w:color w:val="444444"/>
                <w:kern w:val="0"/>
                <w:sz w:val="18"/>
                <w:szCs w:val="18"/>
                <w:lang w:val="en-US" w:eastAsia="zh-CN"/>
              </w:rPr>
              <w:t>159</w:t>
            </w:r>
            <w:r>
              <w:rPr>
                <w:rFonts w:ascii="微软雅黑" w:hAnsi="微软雅黑" w:eastAsia="微软雅黑" w:cs="宋体"/>
                <w:color w:val="444444"/>
                <w:kern w:val="0"/>
                <w:sz w:val="18"/>
                <w:szCs w:val="18"/>
              </w:rPr>
              <w:t>号</w:t>
            </w:r>
            <w:r>
              <w:rPr>
                <w:rFonts w:ascii="微软雅黑" w:hAnsi="微软雅黑" w:eastAsia="微软雅黑" w:cs="微软雅黑"/>
                <w:color w:val="444444"/>
                <w:spacing w:val="0"/>
                <w:position w:val="0"/>
                <w:sz w:val="18"/>
                <w:shd w:val="clear" w:fill="auto"/>
              </w:rPr>
              <w:t xml:space="preserve">  </w:t>
            </w:r>
          </w:p>
        </w:tc>
        <w:tc>
          <w:tcPr>
            <w:tcW w:w="6714"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left"/>
              <w:rPr>
                <w:spacing w:val="0"/>
                <w:position w:val="0"/>
              </w:rPr>
            </w:pPr>
            <w:r>
              <w:rPr>
                <w:rFonts w:ascii="微软雅黑" w:hAnsi="微软雅黑" w:eastAsia="微软雅黑" w:cs="微软雅黑"/>
                <w:color w:val="444444"/>
                <w:spacing w:val="0"/>
                <w:position w:val="0"/>
                <w:sz w:val="18"/>
                <w:shd w:val="clear" w:fill="auto"/>
              </w:rPr>
              <w:t xml:space="preserve"> </w:t>
            </w:r>
            <w:r>
              <w:rPr>
                <w:rFonts w:hint="eastAsia" w:ascii="微软雅黑" w:hAnsi="微软雅黑" w:eastAsia="微软雅黑" w:cs="宋体"/>
                <w:color w:val="444444"/>
                <w:kern w:val="0"/>
                <w:sz w:val="18"/>
                <w:szCs w:val="18"/>
              </w:rPr>
              <w:t>未</w:t>
            </w:r>
            <w:r>
              <w:rPr>
                <w:rFonts w:hint="eastAsia" w:ascii="微软雅黑" w:hAnsi="微软雅黑" w:eastAsia="微软雅黑" w:cs="宋体"/>
                <w:color w:val="444444"/>
                <w:kern w:val="0"/>
                <w:sz w:val="18"/>
                <w:szCs w:val="18"/>
                <w:lang w:eastAsia="zh-CN"/>
              </w:rPr>
              <w:t>及时检查发现并报告公司控股股东股权变更情况和主要股东总经理变动情况，内控不健全</w:t>
            </w:r>
            <w:r>
              <w:rPr>
                <w:rFonts w:hint="eastAsia" w:ascii="微软雅黑" w:hAnsi="微软雅黑" w:eastAsia="微软雅黑" w:cs="宋体"/>
                <w:color w:val="444444"/>
                <w:kern w:val="0"/>
                <w:sz w:val="18"/>
                <w:szCs w:val="18"/>
              </w:rPr>
              <w:t>。</w:t>
            </w:r>
          </w:p>
        </w:tc>
      </w:tr>
      <w:tr>
        <w:tblPrEx>
          <w:tblCellMar>
            <w:top w:w="0" w:type="dxa"/>
            <w:left w:w="10" w:type="dxa"/>
            <w:bottom w:w="0" w:type="dxa"/>
            <w:right w:w="10" w:type="dxa"/>
          </w:tblCellMar>
        </w:tblPrEx>
        <w:trPr>
          <w:trHeight w:val="0" w:hRule="atLeast"/>
        </w:trPr>
        <w:tc>
          <w:tcPr>
            <w:tcW w:w="1119"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leftChars="0" w:right="0" w:rightChars="0" w:firstLine="0" w:firstLineChars="0"/>
              <w:jc w:val="center"/>
              <w:rPr>
                <w:rFonts w:ascii="微软雅黑" w:hAnsi="微软雅黑" w:eastAsia="微软雅黑" w:cs="微软雅黑"/>
                <w:b/>
                <w:color w:val="444444"/>
                <w:spacing w:val="0"/>
                <w:position w:val="0"/>
                <w:sz w:val="18"/>
                <w:shd w:val="clear" w:fill="auto"/>
              </w:rPr>
            </w:pPr>
            <w:r>
              <w:rPr>
                <w:rFonts w:ascii="微软雅黑" w:hAnsi="微软雅黑" w:eastAsia="微软雅黑" w:cs="微软雅黑"/>
                <w:b/>
                <w:color w:val="444444"/>
                <w:spacing w:val="0"/>
                <w:position w:val="0"/>
                <w:sz w:val="18"/>
                <w:shd w:val="clear" w:fill="auto"/>
              </w:rPr>
              <w:t>2021-4-28</w:t>
            </w:r>
          </w:p>
        </w:tc>
        <w:tc>
          <w:tcPr>
            <w:tcW w:w="1399"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leftChars="0" w:right="0" w:rightChars="0" w:firstLine="0" w:firstLineChars="0"/>
              <w:jc w:val="center"/>
              <w:rPr>
                <w:rFonts w:ascii="微软雅黑" w:hAnsi="微软雅黑" w:eastAsia="微软雅黑" w:cs="微软雅黑"/>
                <w:color w:val="444444"/>
                <w:spacing w:val="0"/>
                <w:position w:val="0"/>
                <w:sz w:val="18"/>
                <w:shd w:val="clear" w:fill="auto"/>
              </w:rPr>
            </w:pPr>
            <w:r>
              <w:rPr>
                <w:rFonts w:ascii="微软雅黑" w:hAnsi="微软雅黑" w:eastAsia="微软雅黑" w:cs="微软雅黑"/>
                <w:color w:val="444444"/>
                <w:spacing w:val="0"/>
                <w:position w:val="0"/>
                <w:sz w:val="18"/>
                <w:shd w:val="clear" w:fill="auto"/>
              </w:rPr>
              <w:t>行政监管措施决定书</w:t>
            </w:r>
          </w:p>
        </w:tc>
        <w:tc>
          <w:tcPr>
            <w:tcW w:w="2378"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leftChars="0" w:right="0" w:rightChars="0" w:firstLine="0" w:firstLineChars="0"/>
              <w:jc w:val="center"/>
              <w:rPr>
                <w:rFonts w:ascii="微软雅黑" w:hAnsi="微软雅黑" w:eastAsia="微软雅黑" w:cs="微软雅黑"/>
                <w:color w:val="444444"/>
                <w:spacing w:val="0"/>
                <w:position w:val="0"/>
                <w:sz w:val="18"/>
                <w:shd w:val="clear" w:fill="auto"/>
              </w:rPr>
            </w:pPr>
            <w:r>
              <w:rPr>
                <w:rFonts w:ascii="微软雅黑" w:hAnsi="微软雅黑" w:eastAsia="微软雅黑" w:cs="微软雅黑"/>
                <w:color w:val="444444"/>
                <w:spacing w:val="0"/>
                <w:position w:val="0"/>
                <w:sz w:val="18"/>
                <w:shd w:val="clear" w:fill="auto"/>
              </w:rPr>
              <w:t>中国证券监督管理委员会上海监管局</w:t>
            </w:r>
          </w:p>
        </w:tc>
        <w:tc>
          <w:tcPr>
            <w:tcW w:w="2378"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leftChars="0" w:right="0" w:rightChars="0" w:firstLine="0" w:firstLineChars="0"/>
              <w:jc w:val="center"/>
              <w:rPr>
                <w:rFonts w:ascii="微软雅黑" w:hAnsi="微软雅黑" w:eastAsia="微软雅黑" w:cs="微软雅黑"/>
                <w:color w:val="444444"/>
                <w:spacing w:val="0"/>
                <w:position w:val="0"/>
                <w:sz w:val="18"/>
                <w:shd w:val="clear" w:fill="auto"/>
              </w:rPr>
            </w:pPr>
            <w:r>
              <w:rPr>
                <w:rFonts w:ascii="微软雅黑" w:hAnsi="微软雅黑" w:eastAsia="微软雅黑" w:cs="微软雅黑"/>
                <w:color w:val="444444"/>
                <w:spacing w:val="0"/>
                <w:position w:val="0"/>
                <w:sz w:val="18"/>
                <w:shd w:val="clear" w:fill="auto"/>
              </w:rPr>
              <w:t xml:space="preserve">沪证监决【2021】68号     </w:t>
            </w:r>
          </w:p>
        </w:tc>
        <w:tc>
          <w:tcPr>
            <w:tcW w:w="6714"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leftChars="0" w:right="0" w:rightChars="0" w:firstLine="0" w:firstLineChars="0"/>
              <w:jc w:val="left"/>
              <w:rPr>
                <w:rFonts w:ascii="微软雅黑" w:hAnsi="微软雅黑" w:eastAsia="微软雅黑" w:cs="微软雅黑"/>
                <w:color w:val="444444"/>
                <w:spacing w:val="0"/>
                <w:position w:val="0"/>
                <w:sz w:val="18"/>
                <w:shd w:val="clear" w:fill="auto"/>
              </w:rPr>
            </w:pPr>
            <w:r>
              <w:rPr>
                <w:rFonts w:ascii="微软雅黑" w:hAnsi="微软雅黑" w:eastAsia="微软雅黑" w:cs="微软雅黑"/>
                <w:color w:val="444444"/>
                <w:spacing w:val="0"/>
                <w:position w:val="0"/>
                <w:sz w:val="18"/>
                <w:shd w:val="clear" w:fill="auto"/>
              </w:rPr>
              <w:t xml:space="preserve"> 未与关联方在财务方面严格分开；内部控制不健全。</w:t>
            </w:r>
          </w:p>
        </w:tc>
      </w:tr>
      <w:tr>
        <w:tblPrEx>
          <w:tblCellMar>
            <w:top w:w="0" w:type="dxa"/>
            <w:left w:w="10" w:type="dxa"/>
            <w:bottom w:w="0" w:type="dxa"/>
            <w:right w:w="10" w:type="dxa"/>
          </w:tblCellMar>
        </w:tblPrEx>
        <w:trPr>
          <w:trHeight w:val="0" w:hRule="atLeast"/>
        </w:trPr>
        <w:tc>
          <w:tcPr>
            <w:tcW w:w="1119"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b/>
                <w:color w:val="444444"/>
                <w:spacing w:val="0"/>
                <w:position w:val="0"/>
                <w:sz w:val="18"/>
                <w:shd w:val="clear" w:fill="auto"/>
              </w:rPr>
              <w:t>2012-05-17</w:t>
            </w:r>
          </w:p>
        </w:tc>
        <w:tc>
          <w:tcPr>
            <w:tcW w:w="1399"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color w:val="444444"/>
                <w:spacing w:val="0"/>
                <w:position w:val="0"/>
                <w:sz w:val="18"/>
                <w:shd w:val="clear" w:fill="auto"/>
              </w:rPr>
              <w:t>警示函</w:t>
            </w:r>
          </w:p>
        </w:tc>
        <w:tc>
          <w:tcPr>
            <w:tcW w:w="2378"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color w:val="444444"/>
                <w:spacing w:val="0"/>
                <w:position w:val="0"/>
                <w:sz w:val="18"/>
                <w:shd w:val="clear" w:fill="auto"/>
              </w:rPr>
              <w:t>中国期货业协会</w:t>
            </w:r>
          </w:p>
        </w:tc>
        <w:tc>
          <w:tcPr>
            <w:tcW w:w="2378"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color w:val="444444"/>
                <w:spacing w:val="0"/>
                <w:position w:val="0"/>
                <w:sz w:val="18"/>
                <w:shd w:val="clear" w:fill="auto"/>
              </w:rPr>
              <w:t>中期协函字[2012]181号</w:t>
            </w:r>
          </w:p>
        </w:tc>
        <w:tc>
          <w:tcPr>
            <w:tcW w:w="6714"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left"/>
              <w:rPr>
                <w:spacing w:val="0"/>
                <w:position w:val="0"/>
              </w:rPr>
            </w:pPr>
            <w:r>
              <w:rPr>
                <w:rFonts w:ascii="微软雅黑" w:hAnsi="微软雅黑" w:eastAsia="微软雅黑" w:cs="微软雅黑"/>
                <w:color w:val="444444"/>
                <w:spacing w:val="0"/>
                <w:position w:val="0"/>
                <w:sz w:val="18"/>
                <w:shd w:val="clear" w:fill="auto"/>
              </w:rPr>
              <w:t>因总经理缺位、具备任职资格的高管少于三人、部分股指期货客户综合评估表未填写公司评估意见、个别客户开发负责人填写为居间人开发、未能有效执行股指期货投资者适当性管理制度、公司留存的月度风险监管报表无相关责任人员签字等行为于2012年2月受到上海证监局行政监管措施。</w:t>
            </w:r>
          </w:p>
        </w:tc>
      </w:tr>
      <w:tr>
        <w:tblPrEx>
          <w:tblCellMar>
            <w:top w:w="0" w:type="dxa"/>
            <w:left w:w="10" w:type="dxa"/>
            <w:bottom w:w="0" w:type="dxa"/>
            <w:right w:w="10" w:type="dxa"/>
          </w:tblCellMar>
        </w:tblPrEx>
        <w:trPr>
          <w:trHeight w:val="0" w:hRule="atLeast"/>
        </w:trPr>
        <w:tc>
          <w:tcPr>
            <w:tcW w:w="1119" w:type="dxa"/>
            <w:tcBorders>
              <w:top w:val="single" w:color="7BA0CD" w:sz="6" w:space="0"/>
              <w:left w:val="single" w:color="7BA0CD" w:sz="6" w:space="0"/>
              <w:bottom w:val="single" w:color="7BA0CD" w:sz="6" w:space="0"/>
              <w:right w:val="single" w:color="7BA0CD" w:sz="6" w:space="0"/>
            </w:tcBorders>
            <w:shd w:val="clear" w:color="000000" w:fill="FFFFFF"/>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b/>
                <w:color w:val="444444"/>
                <w:spacing w:val="0"/>
                <w:position w:val="0"/>
                <w:sz w:val="18"/>
                <w:shd w:val="clear" w:fill="auto"/>
              </w:rPr>
              <w:t>2012-02-03</w:t>
            </w:r>
          </w:p>
        </w:tc>
        <w:tc>
          <w:tcPr>
            <w:tcW w:w="1399" w:type="dxa"/>
            <w:tcBorders>
              <w:top w:val="single" w:color="7BA0CD" w:sz="6" w:space="0"/>
              <w:left w:val="single" w:color="7BA0CD" w:sz="6" w:space="0"/>
              <w:bottom w:val="single" w:color="7BA0CD" w:sz="6" w:space="0"/>
              <w:right w:val="single" w:color="7BA0CD" w:sz="6" w:space="0"/>
            </w:tcBorders>
            <w:shd w:val="clear" w:color="000000" w:fill="FFFFFF"/>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color w:val="444444"/>
                <w:spacing w:val="0"/>
                <w:position w:val="0"/>
                <w:sz w:val="18"/>
                <w:shd w:val="clear" w:fill="auto"/>
              </w:rPr>
              <w:t>行政监管措施决定书</w:t>
            </w:r>
          </w:p>
        </w:tc>
        <w:tc>
          <w:tcPr>
            <w:tcW w:w="2378" w:type="dxa"/>
            <w:tcBorders>
              <w:top w:val="single" w:color="7BA0CD" w:sz="6" w:space="0"/>
              <w:left w:val="single" w:color="7BA0CD" w:sz="6" w:space="0"/>
              <w:bottom w:val="single" w:color="7BA0CD" w:sz="6" w:space="0"/>
              <w:right w:val="single" w:color="7BA0CD" w:sz="6" w:space="0"/>
            </w:tcBorders>
            <w:shd w:val="clear" w:color="000000" w:fill="FFFFFF"/>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color w:val="444444"/>
                <w:spacing w:val="0"/>
                <w:position w:val="0"/>
                <w:sz w:val="18"/>
                <w:shd w:val="clear" w:fill="auto"/>
              </w:rPr>
              <w:t>中国证券监督管理委员会上海监管局</w:t>
            </w:r>
          </w:p>
        </w:tc>
        <w:tc>
          <w:tcPr>
            <w:tcW w:w="2378" w:type="dxa"/>
            <w:tcBorders>
              <w:top w:val="single" w:color="7BA0CD" w:sz="6" w:space="0"/>
              <w:left w:val="single" w:color="7BA0CD" w:sz="6" w:space="0"/>
              <w:bottom w:val="single" w:color="7BA0CD" w:sz="6" w:space="0"/>
              <w:right w:val="single" w:color="7BA0CD" w:sz="6" w:space="0"/>
            </w:tcBorders>
            <w:shd w:val="clear" w:color="000000" w:fill="FFFFFF"/>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color w:val="444444"/>
                <w:spacing w:val="0"/>
                <w:position w:val="0"/>
                <w:sz w:val="18"/>
                <w:shd w:val="clear" w:fill="auto"/>
              </w:rPr>
              <w:t>沪证监决[2012]1号</w:t>
            </w:r>
          </w:p>
        </w:tc>
        <w:tc>
          <w:tcPr>
            <w:tcW w:w="6714" w:type="dxa"/>
            <w:tcBorders>
              <w:top w:val="single" w:color="7BA0CD" w:sz="6" w:space="0"/>
              <w:left w:val="single" w:color="7BA0CD" w:sz="6" w:space="0"/>
              <w:bottom w:val="single" w:color="7BA0CD" w:sz="6" w:space="0"/>
              <w:right w:val="single" w:color="7BA0CD" w:sz="6" w:space="0"/>
            </w:tcBorders>
            <w:shd w:val="clear" w:color="000000" w:fill="FFFFFF"/>
            <w:tcMar>
              <w:left w:w="0" w:type="dxa"/>
              <w:right w:w="0" w:type="dxa"/>
            </w:tcMar>
            <w:vAlign w:val="center"/>
          </w:tcPr>
          <w:p>
            <w:pPr>
              <w:spacing w:before="0" w:after="0" w:line="360" w:lineRule="auto"/>
              <w:ind w:left="0" w:right="0" w:firstLine="0"/>
              <w:jc w:val="left"/>
              <w:rPr>
                <w:spacing w:val="0"/>
                <w:position w:val="0"/>
              </w:rPr>
            </w:pPr>
            <w:r>
              <w:rPr>
                <w:rFonts w:ascii="微软雅黑" w:hAnsi="微软雅黑" w:eastAsia="微软雅黑" w:cs="微软雅黑"/>
                <w:color w:val="444444"/>
                <w:spacing w:val="0"/>
                <w:position w:val="0"/>
                <w:sz w:val="18"/>
                <w:shd w:val="clear" w:fill="auto"/>
              </w:rPr>
              <w:t>因以下3个原因公司被暂停核准业务申请：公司总经理缺位，具备资格的高级管理人员少于3人；在上海监管局现场检查过程中发现：公司股指期货综合评估表填写未严格执行股指期货投资者适当性管理制度；公司留存的月度风险监管报表无相关责任人签字。</w:t>
            </w:r>
          </w:p>
        </w:tc>
      </w:tr>
      <w:tr>
        <w:tblPrEx>
          <w:tblCellMar>
            <w:top w:w="0" w:type="dxa"/>
            <w:left w:w="10" w:type="dxa"/>
            <w:bottom w:w="0" w:type="dxa"/>
            <w:right w:w="10" w:type="dxa"/>
          </w:tblCellMar>
        </w:tblPrEx>
        <w:trPr>
          <w:trHeight w:val="0" w:hRule="atLeast"/>
        </w:trPr>
        <w:tc>
          <w:tcPr>
            <w:tcW w:w="1119"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b/>
                <w:color w:val="444444"/>
                <w:spacing w:val="0"/>
                <w:position w:val="0"/>
                <w:sz w:val="18"/>
                <w:shd w:val="clear" w:fill="auto"/>
              </w:rPr>
              <w:t>2011-12-19</w:t>
            </w:r>
          </w:p>
        </w:tc>
        <w:tc>
          <w:tcPr>
            <w:tcW w:w="1399"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color w:val="444444"/>
                <w:spacing w:val="0"/>
                <w:position w:val="0"/>
                <w:sz w:val="18"/>
                <w:shd w:val="clear" w:fill="auto"/>
              </w:rPr>
              <w:t>警示函</w:t>
            </w:r>
          </w:p>
        </w:tc>
        <w:tc>
          <w:tcPr>
            <w:tcW w:w="2378"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color w:val="444444"/>
                <w:spacing w:val="0"/>
                <w:position w:val="0"/>
                <w:sz w:val="18"/>
                <w:shd w:val="clear" w:fill="auto"/>
              </w:rPr>
              <w:t>中国期货业协会</w:t>
            </w:r>
          </w:p>
        </w:tc>
        <w:tc>
          <w:tcPr>
            <w:tcW w:w="2378"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color w:val="444444"/>
                <w:spacing w:val="0"/>
                <w:position w:val="0"/>
                <w:sz w:val="18"/>
                <w:shd w:val="clear" w:fill="auto"/>
              </w:rPr>
              <w:t>中期协函字[2011]282号</w:t>
            </w:r>
          </w:p>
        </w:tc>
        <w:tc>
          <w:tcPr>
            <w:tcW w:w="6714"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left"/>
              <w:rPr>
                <w:spacing w:val="0"/>
                <w:position w:val="0"/>
              </w:rPr>
            </w:pPr>
            <w:r>
              <w:rPr>
                <w:rFonts w:ascii="微软雅黑" w:hAnsi="微软雅黑" w:eastAsia="微软雅黑" w:cs="微软雅黑"/>
                <w:color w:val="444444"/>
                <w:spacing w:val="0"/>
                <w:position w:val="0"/>
                <w:sz w:val="18"/>
                <w:shd w:val="clear" w:fill="auto"/>
              </w:rPr>
              <w:t>因总经理缺位，违反《中国期货业协会会员自律公约》第三条规定，下发书面警示函。</w:t>
            </w:r>
          </w:p>
        </w:tc>
      </w:tr>
      <w:tr>
        <w:tblPrEx>
          <w:tblCellMar>
            <w:top w:w="0" w:type="dxa"/>
            <w:left w:w="10" w:type="dxa"/>
            <w:bottom w:w="0" w:type="dxa"/>
            <w:right w:w="10" w:type="dxa"/>
          </w:tblCellMar>
        </w:tblPrEx>
        <w:trPr>
          <w:trHeight w:val="0" w:hRule="atLeast"/>
        </w:trPr>
        <w:tc>
          <w:tcPr>
            <w:tcW w:w="1119" w:type="dxa"/>
            <w:tcBorders>
              <w:top w:val="single" w:color="7BA0CD" w:sz="6" w:space="0"/>
              <w:left w:val="single" w:color="7BA0CD" w:sz="6" w:space="0"/>
              <w:bottom w:val="single" w:color="7BA0CD" w:sz="6" w:space="0"/>
              <w:right w:val="single" w:color="7BA0CD" w:sz="6" w:space="0"/>
            </w:tcBorders>
            <w:shd w:val="clear" w:color="000000" w:fill="FFFFFF"/>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b/>
                <w:color w:val="444444"/>
                <w:spacing w:val="0"/>
                <w:position w:val="0"/>
                <w:sz w:val="18"/>
                <w:shd w:val="clear" w:fill="auto"/>
              </w:rPr>
              <w:t>2011-09-20</w:t>
            </w:r>
          </w:p>
        </w:tc>
        <w:tc>
          <w:tcPr>
            <w:tcW w:w="1399" w:type="dxa"/>
            <w:tcBorders>
              <w:top w:val="single" w:color="7BA0CD" w:sz="6" w:space="0"/>
              <w:left w:val="single" w:color="7BA0CD" w:sz="6" w:space="0"/>
              <w:bottom w:val="single" w:color="7BA0CD" w:sz="6" w:space="0"/>
              <w:right w:val="single" w:color="7BA0CD" w:sz="6" w:space="0"/>
            </w:tcBorders>
            <w:shd w:val="clear" w:color="000000" w:fill="FFFFFF"/>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color w:val="444444"/>
                <w:spacing w:val="0"/>
                <w:position w:val="0"/>
                <w:sz w:val="18"/>
                <w:shd w:val="clear" w:fill="auto"/>
              </w:rPr>
              <w:t>监管意见函</w:t>
            </w:r>
          </w:p>
        </w:tc>
        <w:tc>
          <w:tcPr>
            <w:tcW w:w="2378" w:type="dxa"/>
            <w:tcBorders>
              <w:top w:val="single" w:color="7BA0CD" w:sz="6" w:space="0"/>
              <w:left w:val="single" w:color="7BA0CD" w:sz="6" w:space="0"/>
              <w:bottom w:val="single" w:color="7BA0CD" w:sz="6" w:space="0"/>
              <w:right w:val="single" w:color="7BA0CD" w:sz="6" w:space="0"/>
            </w:tcBorders>
            <w:shd w:val="clear" w:color="000000" w:fill="FFFFFF"/>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color w:val="444444"/>
                <w:spacing w:val="0"/>
                <w:position w:val="0"/>
                <w:sz w:val="18"/>
                <w:shd w:val="clear" w:fill="auto"/>
              </w:rPr>
              <w:t>中国金融期货交易所</w:t>
            </w:r>
          </w:p>
        </w:tc>
        <w:tc>
          <w:tcPr>
            <w:tcW w:w="2378" w:type="dxa"/>
            <w:tcBorders>
              <w:top w:val="single" w:color="7BA0CD" w:sz="6" w:space="0"/>
              <w:left w:val="single" w:color="7BA0CD" w:sz="6" w:space="0"/>
              <w:bottom w:val="single" w:color="7BA0CD" w:sz="6" w:space="0"/>
              <w:right w:val="single" w:color="7BA0CD" w:sz="6" w:space="0"/>
            </w:tcBorders>
            <w:shd w:val="clear" w:color="000000" w:fill="FFFFFF"/>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color w:val="444444"/>
                <w:spacing w:val="0"/>
                <w:position w:val="0"/>
                <w:sz w:val="18"/>
                <w:shd w:val="clear" w:fill="auto"/>
              </w:rPr>
              <w:t>中金监管字[2011]004号</w:t>
            </w:r>
          </w:p>
        </w:tc>
        <w:tc>
          <w:tcPr>
            <w:tcW w:w="6714" w:type="dxa"/>
            <w:tcBorders>
              <w:top w:val="single" w:color="7BA0CD" w:sz="6" w:space="0"/>
              <w:left w:val="single" w:color="7BA0CD" w:sz="6" w:space="0"/>
              <w:bottom w:val="single" w:color="7BA0CD" w:sz="6" w:space="0"/>
              <w:right w:val="single" w:color="7BA0CD" w:sz="6" w:space="0"/>
            </w:tcBorders>
            <w:shd w:val="clear" w:color="000000" w:fill="FFFFFF"/>
            <w:tcMar>
              <w:left w:w="0" w:type="dxa"/>
              <w:right w:w="0" w:type="dxa"/>
            </w:tcMar>
            <w:vAlign w:val="center"/>
          </w:tcPr>
          <w:p>
            <w:pPr>
              <w:spacing w:before="0" w:after="0" w:line="360" w:lineRule="auto"/>
              <w:ind w:left="0" w:right="0" w:firstLine="0"/>
              <w:jc w:val="left"/>
              <w:rPr>
                <w:spacing w:val="0"/>
                <w:position w:val="0"/>
              </w:rPr>
            </w:pPr>
            <w:r>
              <w:rPr>
                <w:rFonts w:ascii="微软雅黑" w:hAnsi="微软雅黑" w:eastAsia="微软雅黑" w:cs="微软雅黑"/>
                <w:color w:val="444444"/>
                <w:spacing w:val="0"/>
                <w:position w:val="0"/>
                <w:sz w:val="18"/>
                <w:shd w:val="clear" w:fill="auto"/>
              </w:rPr>
              <w:t>因现场检查发现公司股指期货投资者适当性制度未有效执行，被下达监管意见函。</w:t>
            </w:r>
          </w:p>
        </w:tc>
      </w:tr>
      <w:tr>
        <w:tblPrEx>
          <w:tblCellMar>
            <w:top w:w="0" w:type="dxa"/>
            <w:left w:w="10" w:type="dxa"/>
            <w:bottom w:w="0" w:type="dxa"/>
            <w:right w:w="10" w:type="dxa"/>
          </w:tblCellMar>
        </w:tblPrEx>
        <w:trPr>
          <w:trHeight w:val="0" w:hRule="atLeast"/>
        </w:trPr>
        <w:tc>
          <w:tcPr>
            <w:tcW w:w="1119"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b/>
                <w:color w:val="444444"/>
                <w:spacing w:val="0"/>
                <w:position w:val="0"/>
                <w:sz w:val="18"/>
                <w:shd w:val="clear" w:fill="auto"/>
              </w:rPr>
              <w:t>2011-12-19</w:t>
            </w:r>
          </w:p>
        </w:tc>
        <w:tc>
          <w:tcPr>
            <w:tcW w:w="1399"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color w:val="444444"/>
                <w:spacing w:val="0"/>
                <w:position w:val="0"/>
                <w:sz w:val="18"/>
                <w:shd w:val="clear" w:fill="auto"/>
              </w:rPr>
              <w:t>监管意见函</w:t>
            </w:r>
          </w:p>
        </w:tc>
        <w:tc>
          <w:tcPr>
            <w:tcW w:w="2378"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color w:val="444444"/>
                <w:spacing w:val="0"/>
                <w:position w:val="0"/>
                <w:sz w:val="18"/>
                <w:shd w:val="clear" w:fill="auto"/>
              </w:rPr>
              <w:t>中国金融期货交易所</w:t>
            </w:r>
          </w:p>
        </w:tc>
        <w:tc>
          <w:tcPr>
            <w:tcW w:w="2378"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color w:val="444444"/>
                <w:spacing w:val="0"/>
                <w:position w:val="0"/>
                <w:sz w:val="18"/>
                <w:shd w:val="clear" w:fill="auto"/>
              </w:rPr>
              <w:t>沪证监决[2011]11号</w:t>
            </w:r>
          </w:p>
        </w:tc>
        <w:tc>
          <w:tcPr>
            <w:tcW w:w="6714" w:type="dxa"/>
            <w:tcBorders>
              <w:top w:val="single" w:color="7BA0CD" w:sz="6" w:space="0"/>
              <w:left w:val="single" w:color="7BA0CD" w:sz="6" w:space="0"/>
              <w:bottom w:val="single" w:color="7BA0CD" w:sz="6" w:space="0"/>
              <w:right w:val="single" w:color="7BA0CD" w:sz="6" w:space="0"/>
            </w:tcBorders>
            <w:shd w:val="clear" w:color="auto" w:fill="D3DFEE"/>
            <w:tcMar>
              <w:left w:w="0" w:type="dxa"/>
              <w:right w:w="0" w:type="dxa"/>
            </w:tcMar>
            <w:vAlign w:val="center"/>
          </w:tcPr>
          <w:p>
            <w:pPr>
              <w:spacing w:before="0" w:after="0" w:line="360" w:lineRule="auto"/>
              <w:ind w:left="0" w:right="0" w:firstLine="0"/>
              <w:jc w:val="left"/>
              <w:rPr>
                <w:spacing w:val="0"/>
                <w:position w:val="0"/>
              </w:rPr>
            </w:pPr>
            <w:r>
              <w:rPr>
                <w:rFonts w:ascii="微软雅黑" w:hAnsi="微软雅黑" w:eastAsia="微软雅黑" w:cs="微软雅黑"/>
                <w:color w:val="444444"/>
                <w:spacing w:val="0"/>
                <w:position w:val="0"/>
                <w:sz w:val="18"/>
                <w:shd w:val="clear" w:fill="auto"/>
              </w:rPr>
              <w:t>因公司总经理缺位，责令整改。</w:t>
            </w:r>
          </w:p>
        </w:tc>
      </w:tr>
      <w:tr>
        <w:tblPrEx>
          <w:tblCellMar>
            <w:top w:w="0" w:type="dxa"/>
            <w:left w:w="10" w:type="dxa"/>
            <w:bottom w:w="0" w:type="dxa"/>
            <w:right w:w="10" w:type="dxa"/>
          </w:tblCellMar>
        </w:tblPrEx>
        <w:trPr>
          <w:trHeight w:val="0" w:hRule="atLeast"/>
        </w:trPr>
        <w:tc>
          <w:tcPr>
            <w:tcW w:w="1119" w:type="dxa"/>
            <w:tcBorders>
              <w:top w:val="single" w:color="7BA0CD" w:sz="6" w:space="0"/>
              <w:left w:val="single" w:color="7BA0CD" w:sz="6" w:space="0"/>
              <w:bottom w:val="single" w:color="7BA0CD" w:sz="6" w:space="0"/>
              <w:right w:val="single" w:color="7BA0CD" w:sz="6" w:space="0"/>
            </w:tcBorders>
            <w:shd w:val="clear" w:color="000000" w:fill="FFFFFF"/>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b/>
                <w:color w:val="444444"/>
                <w:spacing w:val="0"/>
                <w:position w:val="0"/>
                <w:sz w:val="18"/>
                <w:shd w:val="clear" w:fill="auto"/>
              </w:rPr>
              <w:t>2011-03-17</w:t>
            </w:r>
          </w:p>
        </w:tc>
        <w:tc>
          <w:tcPr>
            <w:tcW w:w="1399" w:type="dxa"/>
            <w:tcBorders>
              <w:top w:val="single" w:color="7BA0CD" w:sz="6" w:space="0"/>
              <w:left w:val="single" w:color="7BA0CD" w:sz="6" w:space="0"/>
              <w:bottom w:val="single" w:color="7BA0CD" w:sz="6" w:space="0"/>
              <w:right w:val="single" w:color="7BA0CD" w:sz="6" w:space="0"/>
            </w:tcBorders>
            <w:shd w:val="clear" w:color="000000" w:fill="FFFFFF"/>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color w:val="444444"/>
                <w:spacing w:val="0"/>
                <w:position w:val="0"/>
                <w:sz w:val="18"/>
                <w:shd w:val="clear" w:fill="auto"/>
              </w:rPr>
              <w:t>行政监管措施决定书</w:t>
            </w:r>
          </w:p>
        </w:tc>
        <w:tc>
          <w:tcPr>
            <w:tcW w:w="2378" w:type="dxa"/>
            <w:tcBorders>
              <w:top w:val="single" w:color="7BA0CD" w:sz="6" w:space="0"/>
              <w:left w:val="single" w:color="7BA0CD" w:sz="6" w:space="0"/>
              <w:bottom w:val="single" w:color="7BA0CD" w:sz="6" w:space="0"/>
              <w:right w:val="single" w:color="7BA0CD" w:sz="6" w:space="0"/>
            </w:tcBorders>
            <w:shd w:val="clear" w:color="000000" w:fill="FFFFFF"/>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color w:val="444444"/>
                <w:spacing w:val="0"/>
                <w:position w:val="0"/>
                <w:sz w:val="18"/>
                <w:shd w:val="clear" w:fill="auto"/>
              </w:rPr>
              <w:t>中国证券监督管理委员会上</w:t>
            </w:r>
          </w:p>
        </w:tc>
        <w:tc>
          <w:tcPr>
            <w:tcW w:w="2378" w:type="dxa"/>
            <w:tcBorders>
              <w:top w:val="single" w:color="7BA0CD" w:sz="6" w:space="0"/>
              <w:left w:val="single" w:color="7BA0CD" w:sz="6" w:space="0"/>
              <w:bottom w:val="single" w:color="7BA0CD" w:sz="6" w:space="0"/>
              <w:right w:val="single" w:color="7BA0CD" w:sz="6" w:space="0"/>
            </w:tcBorders>
            <w:shd w:val="clear" w:color="000000" w:fill="FFFFFF"/>
            <w:tcMar>
              <w:left w:w="0" w:type="dxa"/>
              <w:right w:w="0" w:type="dxa"/>
            </w:tcMar>
            <w:vAlign w:val="center"/>
          </w:tcPr>
          <w:p>
            <w:pPr>
              <w:spacing w:before="0" w:after="0" w:line="360" w:lineRule="auto"/>
              <w:ind w:left="0" w:right="0" w:firstLine="0"/>
              <w:jc w:val="center"/>
              <w:rPr>
                <w:spacing w:val="0"/>
                <w:position w:val="0"/>
              </w:rPr>
            </w:pPr>
            <w:r>
              <w:rPr>
                <w:rFonts w:ascii="微软雅黑" w:hAnsi="微软雅黑" w:eastAsia="微软雅黑" w:cs="微软雅黑"/>
                <w:color w:val="444444"/>
                <w:spacing w:val="0"/>
                <w:position w:val="0"/>
                <w:sz w:val="18"/>
                <w:shd w:val="clear" w:fill="auto"/>
              </w:rPr>
              <w:t>沪证监决[2010]6号</w:t>
            </w:r>
          </w:p>
        </w:tc>
        <w:tc>
          <w:tcPr>
            <w:tcW w:w="6714" w:type="dxa"/>
            <w:tcBorders>
              <w:top w:val="single" w:color="7BA0CD" w:sz="6" w:space="0"/>
              <w:left w:val="single" w:color="7BA0CD" w:sz="6" w:space="0"/>
              <w:bottom w:val="single" w:color="7BA0CD" w:sz="6" w:space="0"/>
              <w:right w:val="single" w:color="7BA0CD" w:sz="6" w:space="0"/>
            </w:tcBorders>
            <w:shd w:val="clear" w:color="000000" w:fill="FFFFFF"/>
            <w:tcMar>
              <w:left w:w="0" w:type="dxa"/>
              <w:right w:w="0" w:type="dxa"/>
            </w:tcMar>
            <w:vAlign w:val="center"/>
          </w:tcPr>
          <w:p>
            <w:pPr>
              <w:spacing w:before="0" w:after="0" w:line="360" w:lineRule="auto"/>
              <w:ind w:left="0" w:right="0" w:firstLine="0"/>
              <w:jc w:val="left"/>
              <w:rPr>
                <w:spacing w:val="0"/>
                <w:position w:val="0"/>
              </w:rPr>
            </w:pPr>
            <w:r>
              <w:rPr>
                <w:rFonts w:ascii="微软雅黑" w:hAnsi="微软雅黑" w:eastAsia="微软雅黑" w:cs="微软雅黑"/>
                <w:color w:val="444444"/>
                <w:spacing w:val="0"/>
                <w:position w:val="0"/>
                <w:sz w:val="18"/>
                <w:shd w:val="clear" w:fill="auto"/>
              </w:rPr>
              <w:t>因公司法定代表人不具备期货从业人员资格以及未配备独立董事，责令整改。</w:t>
            </w:r>
          </w:p>
        </w:tc>
      </w:tr>
    </w:tbl>
    <w:p>
      <w:pPr>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小标宋简">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NmE0YjEzMzc5ODE3ZGVkOTkyYjIwY2M5ZWIxY2QifQ=="/>
  </w:docVars>
  <w:rsids>
    <w:rsidRoot w:val="00000000"/>
    <w:rsid w:val="456D05AC"/>
    <w:rsid w:val="480A0199"/>
    <w:rsid w:val="683E39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668</Words>
  <Characters>796</Characters>
  <TotalTime>5</TotalTime>
  <ScaleCrop>false</ScaleCrop>
  <LinksUpToDate>false</LinksUpToDate>
  <CharactersWithSpaces>805</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2022-10-12T02:10:29Z</dcterms:created>
  <dc:creator>Administrator</dc:creator>
  <cp:lastModifiedBy>玖肆.</cp:lastModifiedBy>
  <dcterms:modified xsi:type="dcterms:W3CDTF">2022-10-12T02:22:01Z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77E071849EA8447C96CAF7696CF92593</vt:lpwstr>
  </property>
</Properties>
</file>